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5"/>
        <w:rPr>
          <w:rFonts w:ascii="Times New Roman"/>
          <w:sz w:val="22"/>
        </w:rPr>
      </w:pPr>
    </w:p>
    <w:p>
      <w:pPr>
        <w:spacing w:before="1"/>
        <w:ind w:left="1156" w:right="1293" w:firstLine="0"/>
        <w:jc w:val="center"/>
        <w:rPr>
          <w:rFonts w:ascii="Tahoma" w:hAnsi="Tahoma"/>
          <w:b/>
          <w:sz w:val="22"/>
        </w:rPr>
      </w:pPr>
      <w:r>
        <w:rPr>
          <w:rFonts w:ascii="Tahoma" w:hAnsi="Tahoma"/>
          <w:b/>
          <w:color w:val="008000"/>
          <w:sz w:val="22"/>
        </w:rPr>
        <w:t>LEY</w:t>
      </w:r>
      <w:r>
        <w:rPr>
          <w:rFonts w:ascii="Tahoma" w:hAnsi="Tahoma"/>
          <w:b/>
          <w:color w:val="008000"/>
          <w:spacing w:val="-7"/>
          <w:sz w:val="22"/>
        </w:rPr>
        <w:t> </w:t>
      </w:r>
      <w:r>
        <w:rPr>
          <w:rFonts w:ascii="Tahoma" w:hAnsi="Tahoma"/>
          <w:b/>
          <w:color w:val="008000"/>
          <w:sz w:val="22"/>
        </w:rPr>
        <w:t>DE</w:t>
      </w:r>
      <w:r>
        <w:rPr>
          <w:rFonts w:ascii="Tahoma" w:hAnsi="Tahoma"/>
          <w:b/>
          <w:color w:val="008000"/>
          <w:spacing w:val="-5"/>
          <w:sz w:val="22"/>
        </w:rPr>
        <w:t> </w:t>
      </w:r>
      <w:r>
        <w:rPr>
          <w:rFonts w:ascii="Tahoma" w:hAnsi="Tahoma"/>
          <w:b/>
          <w:color w:val="008000"/>
          <w:sz w:val="22"/>
        </w:rPr>
        <w:t>COORDINACIÓN</w:t>
      </w:r>
      <w:r>
        <w:rPr>
          <w:rFonts w:ascii="Tahoma" w:hAnsi="Tahoma"/>
          <w:b/>
          <w:color w:val="008000"/>
          <w:spacing w:val="-6"/>
          <w:sz w:val="22"/>
        </w:rPr>
        <w:t> </w:t>
      </w:r>
      <w:r>
        <w:rPr>
          <w:rFonts w:ascii="Tahoma" w:hAnsi="Tahoma"/>
          <w:b/>
          <w:color w:val="008000"/>
          <w:spacing w:val="-2"/>
          <w:sz w:val="22"/>
        </w:rPr>
        <w:t>FISCAL</w:t>
      </w:r>
    </w:p>
    <w:p>
      <w:pPr>
        <w:spacing w:line="380" w:lineRule="atLeast" w:before="51"/>
        <w:ind w:left="1156" w:right="1299" w:firstLine="0"/>
        <w:jc w:val="center"/>
        <w:rPr>
          <w:rFonts w:ascii="Tahoma" w:hAnsi="Tahoma"/>
          <w:b/>
          <w:sz w:val="16"/>
        </w:rPr>
      </w:pPr>
      <w:r>
        <w:rPr>
          <w:rFonts w:ascii="Tahoma" w:hAnsi="Tahoma"/>
          <w:b/>
          <w:sz w:val="16"/>
        </w:rPr>
        <w:t>Nueva</w:t>
      </w:r>
      <w:r>
        <w:rPr>
          <w:rFonts w:ascii="Tahoma" w:hAnsi="Tahoma"/>
          <w:b/>
          <w:spacing w:val="-1"/>
          <w:sz w:val="16"/>
        </w:rPr>
        <w:t> </w:t>
      </w:r>
      <w:r>
        <w:rPr>
          <w:rFonts w:ascii="Tahoma" w:hAnsi="Tahoma"/>
          <w:b/>
          <w:sz w:val="16"/>
        </w:rPr>
        <w:t>Ley</w:t>
      </w:r>
      <w:r>
        <w:rPr>
          <w:rFonts w:ascii="Tahoma" w:hAnsi="Tahoma"/>
          <w:b/>
          <w:spacing w:val="-2"/>
          <w:sz w:val="16"/>
        </w:rPr>
        <w:t> </w:t>
      </w:r>
      <w:r>
        <w:rPr>
          <w:rFonts w:ascii="Tahoma" w:hAnsi="Tahoma"/>
          <w:b/>
          <w:sz w:val="16"/>
        </w:rPr>
        <w:t>publicada</w:t>
      </w:r>
      <w:r>
        <w:rPr>
          <w:rFonts w:ascii="Tahoma" w:hAnsi="Tahoma"/>
          <w:b/>
          <w:spacing w:val="-3"/>
          <w:sz w:val="16"/>
        </w:rPr>
        <w:t> </w:t>
      </w:r>
      <w:r>
        <w:rPr>
          <w:rFonts w:ascii="Tahoma" w:hAnsi="Tahoma"/>
          <w:b/>
          <w:sz w:val="16"/>
        </w:rPr>
        <w:t>en</w:t>
      </w:r>
      <w:r>
        <w:rPr>
          <w:rFonts w:ascii="Tahoma" w:hAnsi="Tahoma"/>
          <w:b/>
          <w:spacing w:val="-3"/>
          <w:sz w:val="16"/>
        </w:rPr>
        <w:t> </w:t>
      </w:r>
      <w:r>
        <w:rPr>
          <w:rFonts w:ascii="Tahoma" w:hAnsi="Tahoma"/>
          <w:b/>
          <w:sz w:val="16"/>
        </w:rPr>
        <w:t>el</w:t>
      </w:r>
      <w:r>
        <w:rPr>
          <w:rFonts w:ascii="Tahoma" w:hAnsi="Tahoma"/>
          <w:b/>
          <w:spacing w:val="-3"/>
          <w:sz w:val="16"/>
        </w:rPr>
        <w:t> </w:t>
      </w:r>
      <w:r>
        <w:rPr>
          <w:rFonts w:ascii="Tahoma" w:hAnsi="Tahoma"/>
          <w:b/>
          <w:sz w:val="16"/>
        </w:rPr>
        <w:t>Diario</w:t>
      </w:r>
      <w:r>
        <w:rPr>
          <w:rFonts w:ascii="Tahoma" w:hAnsi="Tahoma"/>
          <w:b/>
          <w:spacing w:val="-1"/>
          <w:sz w:val="16"/>
        </w:rPr>
        <w:t> </w:t>
      </w:r>
      <w:r>
        <w:rPr>
          <w:rFonts w:ascii="Tahoma" w:hAnsi="Tahoma"/>
          <w:b/>
          <w:sz w:val="16"/>
        </w:rPr>
        <w:t>Oficial</w:t>
      </w:r>
      <w:r>
        <w:rPr>
          <w:rFonts w:ascii="Tahoma" w:hAnsi="Tahoma"/>
          <w:b/>
          <w:spacing w:val="-4"/>
          <w:sz w:val="16"/>
        </w:rPr>
        <w:t> </w:t>
      </w:r>
      <w:r>
        <w:rPr>
          <w:rFonts w:ascii="Tahoma" w:hAnsi="Tahoma"/>
          <w:b/>
          <w:sz w:val="16"/>
        </w:rPr>
        <w:t>de la</w:t>
      </w:r>
      <w:r>
        <w:rPr>
          <w:rFonts w:ascii="Tahoma" w:hAnsi="Tahoma"/>
          <w:b/>
          <w:spacing w:val="-3"/>
          <w:sz w:val="16"/>
        </w:rPr>
        <w:t> </w:t>
      </w:r>
      <w:r>
        <w:rPr>
          <w:rFonts w:ascii="Tahoma" w:hAnsi="Tahoma"/>
          <w:b/>
          <w:sz w:val="16"/>
        </w:rPr>
        <w:t>Federación</w:t>
      </w:r>
      <w:r>
        <w:rPr>
          <w:rFonts w:ascii="Tahoma" w:hAnsi="Tahoma"/>
          <w:b/>
          <w:spacing w:val="-3"/>
          <w:sz w:val="16"/>
        </w:rPr>
        <w:t> </w:t>
      </w:r>
      <w:r>
        <w:rPr>
          <w:rFonts w:ascii="Tahoma" w:hAnsi="Tahoma"/>
          <w:b/>
          <w:sz w:val="16"/>
        </w:rPr>
        <w:t>el</w:t>
      </w:r>
      <w:r>
        <w:rPr>
          <w:rFonts w:ascii="Tahoma" w:hAnsi="Tahoma"/>
          <w:b/>
          <w:spacing w:val="-3"/>
          <w:sz w:val="16"/>
        </w:rPr>
        <w:t> </w:t>
      </w:r>
      <w:r>
        <w:rPr>
          <w:rFonts w:ascii="Tahoma" w:hAnsi="Tahoma"/>
          <w:b/>
          <w:sz w:val="16"/>
        </w:rPr>
        <w:t>27</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diciembre</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1978 TEXTO VIGENTE</w:t>
      </w:r>
    </w:p>
    <w:p>
      <w:pPr>
        <w:spacing w:before="8"/>
        <w:ind w:left="1156" w:right="1294"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03-01-</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ind w:left="1"/>
      </w:pPr>
      <w:r>
        <w:rPr/>
        <w:t>Al</w:t>
      </w:r>
      <w:r>
        <w:rPr>
          <w:spacing w:val="30"/>
        </w:rPr>
        <w:t> </w:t>
      </w:r>
      <w:r>
        <w:rPr/>
        <w:t>margen</w:t>
      </w:r>
      <w:r>
        <w:rPr>
          <w:spacing w:val="30"/>
        </w:rPr>
        <w:t> </w:t>
      </w:r>
      <w:r>
        <w:rPr/>
        <w:t>un</w:t>
      </w:r>
      <w:r>
        <w:rPr>
          <w:spacing w:val="31"/>
        </w:rPr>
        <w:t> </w:t>
      </w:r>
      <w:r>
        <w:rPr/>
        <w:t>sello</w:t>
      </w:r>
      <w:r>
        <w:rPr>
          <w:spacing w:val="31"/>
        </w:rPr>
        <w:t> </w:t>
      </w:r>
      <w:r>
        <w:rPr/>
        <w:t>con</w:t>
      </w:r>
      <w:r>
        <w:rPr>
          <w:spacing w:val="32"/>
        </w:rPr>
        <w:t> </w:t>
      </w:r>
      <w:r>
        <w:rPr/>
        <w:t>el</w:t>
      </w:r>
      <w:r>
        <w:rPr>
          <w:spacing w:val="32"/>
        </w:rPr>
        <w:t> </w:t>
      </w:r>
      <w:r>
        <w:rPr/>
        <w:t>Escudo</w:t>
      </w:r>
      <w:r>
        <w:rPr>
          <w:spacing w:val="31"/>
        </w:rPr>
        <w:t> </w:t>
      </w:r>
      <w:r>
        <w:rPr/>
        <w:t>Nacional,</w:t>
      </w:r>
      <w:r>
        <w:rPr>
          <w:spacing w:val="31"/>
        </w:rPr>
        <w:t> </w:t>
      </w:r>
      <w:r>
        <w:rPr/>
        <w:t>que</w:t>
      </w:r>
      <w:r>
        <w:rPr>
          <w:spacing w:val="31"/>
        </w:rPr>
        <w:t> </w:t>
      </w:r>
      <w:r>
        <w:rPr/>
        <w:t>dice:</w:t>
      </w:r>
      <w:r>
        <w:rPr>
          <w:spacing w:val="30"/>
        </w:rPr>
        <w:t> </w:t>
      </w:r>
      <w:r>
        <w:rPr/>
        <w:t>Estados</w:t>
      </w:r>
      <w:r>
        <w:rPr>
          <w:spacing w:val="32"/>
        </w:rPr>
        <w:t> </w:t>
      </w:r>
      <w:r>
        <w:rPr/>
        <w:t>Unidos</w:t>
      </w:r>
      <w:r>
        <w:rPr>
          <w:spacing w:val="32"/>
        </w:rPr>
        <w:t> </w:t>
      </w:r>
      <w:r>
        <w:rPr/>
        <w:t>Mexicanos.-</w:t>
      </w:r>
      <w:r>
        <w:rPr>
          <w:spacing w:val="32"/>
        </w:rPr>
        <w:t> </w:t>
      </w:r>
      <w:r>
        <w:rPr/>
        <w:t>Presidencia</w:t>
      </w:r>
      <w:r>
        <w:rPr>
          <w:spacing w:val="31"/>
        </w:rPr>
        <w:t> </w:t>
      </w:r>
      <w:r>
        <w:rPr/>
        <w:t>de</w:t>
      </w:r>
      <w:r>
        <w:rPr>
          <w:spacing w:val="31"/>
        </w:rPr>
        <w:t> </w:t>
      </w:r>
      <w:r>
        <w:rPr/>
        <w:t>la </w:t>
      </w:r>
      <w:r>
        <w:rPr>
          <w:spacing w:val="-2"/>
        </w:rPr>
        <w:t>República.</w:t>
      </w:r>
    </w:p>
    <w:p>
      <w:pPr>
        <w:pStyle w:val="BodyText"/>
      </w:pPr>
    </w:p>
    <w:p>
      <w:pPr>
        <w:pStyle w:val="BodyText"/>
        <w:spacing w:line="242" w:lineRule="auto"/>
        <w:ind w:left="1" w:right="149" w:firstLine="288"/>
        <w:jc w:val="both"/>
      </w:pPr>
      <w:r>
        <w:rPr>
          <w:rFonts w:ascii="Arial"/>
          <w:b/>
        </w:rPr>
        <w:t>JOSE LOPEZ PORTILLO</w:t>
      </w:r>
      <w:r>
        <w:rPr/>
        <w:t>, Presidente Constitucional de los Estados Unidos Mexicanos, a sus habitantes, sabed:</w:t>
      </w:r>
    </w:p>
    <w:p>
      <w:pPr>
        <w:pStyle w:val="BodyText"/>
        <w:spacing w:before="226"/>
        <w:ind w:left="289"/>
      </w:pPr>
      <w:r>
        <w:rPr/>
        <w:t>Que</w:t>
      </w:r>
      <w:r>
        <w:rPr>
          <w:spacing w:val="-6"/>
        </w:rPr>
        <w:t> </w:t>
      </w:r>
      <w:r>
        <w:rPr/>
        <w:t>el</w:t>
      </w:r>
      <w:r>
        <w:rPr>
          <w:spacing w:val="-6"/>
        </w:rPr>
        <w:t> </w:t>
      </w:r>
      <w:r>
        <w:rPr/>
        <w:t>H.</w:t>
      </w:r>
      <w:r>
        <w:rPr>
          <w:spacing w:val="-6"/>
        </w:rPr>
        <w:t> </w:t>
      </w:r>
      <w:r>
        <w:rPr/>
        <w:t>Congreso</w:t>
      </w:r>
      <w:r>
        <w:rPr>
          <w:spacing w:val="-5"/>
        </w:rPr>
        <w:t> </w:t>
      </w:r>
      <w:r>
        <w:rPr/>
        <w:t>de</w:t>
      </w:r>
      <w:r>
        <w:rPr>
          <w:spacing w:val="-3"/>
        </w:rPr>
        <w:t> </w:t>
      </w:r>
      <w:r>
        <w:rPr/>
        <w:t>la</w:t>
      </w:r>
      <w:r>
        <w:rPr>
          <w:spacing w:val="-1"/>
        </w:rPr>
        <w:t> </w:t>
      </w:r>
      <w:r>
        <w:rPr/>
        <w:t>Unión</w:t>
      </w:r>
      <w:r>
        <w:rPr>
          <w:spacing w:val="-5"/>
        </w:rPr>
        <w:t> </w:t>
      </w:r>
      <w:r>
        <w:rPr/>
        <w:t>se</w:t>
      </w:r>
      <w:r>
        <w:rPr>
          <w:spacing w:val="-5"/>
        </w:rPr>
        <w:t> </w:t>
      </w:r>
      <w:r>
        <w:rPr/>
        <w:t>ha</w:t>
      </w:r>
      <w:r>
        <w:rPr>
          <w:spacing w:val="-5"/>
        </w:rPr>
        <w:t> </w:t>
      </w:r>
      <w:r>
        <w:rPr/>
        <w:t>servido</w:t>
      </w:r>
      <w:r>
        <w:rPr>
          <w:spacing w:val="-5"/>
        </w:rPr>
        <w:t> </w:t>
      </w:r>
      <w:r>
        <w:rPr/>
        <w:t>dirigirme</w:t>
      </w:r>
      <w:r>
        <w:rPr>
          <w:spacing w:val="-6"/>
        </w:rPr>
        <w:t> </w:t>
      </w:r>
      <w:r>
        <w:rPr/>
        <w:t>el</w:t>
      </w:r>
      <w:r>
        <w:rPr>
          <w:spacing w:val="-6"/>
        </w:rPr>
        <w:t> </w:t>
      </w:r>
      <w:r>
        <w:rPr>
          <w:spacing w:val="-2"/>
        </w:rPr>
        <w:t>siguiente</w:t>
      </w:r>
    </w:p>
    <w:p>
      <w:pPr>
        <w:pStyle w:val="BodyText"/>
        <w:spacing w:before="1"/>
      </w:pPr>
    </w:p>
    <w:p>
      <w:pPr>
        <w:pStyle w:val="BodyText"/>
        <w:ind w:left="1156" w:right="1294"/>
        <w:jc w:val="center"/>
      </w:pPr>
      <w:r>
        <w:rPr>
          <w:spacing w:val="-2"/>
        </w:rPr>
        <w:t>DECRETO:</w:t>
      </w:r>
    </w:p>
    <w:p>
      <w:pPr>
        <w:pStyle w:val="BodyText"/>
        <w:spacing w:before="1"/>
      </w:pPr>
    </w:p>
    <w:p>
      <w:pPr>
        <w:pStyle w:val="BodyText"/>
        <w:ind w:left="289"/>
      </w:pPr>
      <w:r>
        <w:rPr/>
        <w:t>“El</w:t>
      </w:r>
      <w:r>
        <w:rPr>
          <w:spacing w:val="-9"/>
        </w:rPr>
        <w:t> </w:t>
      </w:r>
      <w:r>
        <w:rPr/>
        <w:t>Congreso</w:t>
      </w:r>
      <w:r>
        <w:rPr>
          <w:spacing w:val="-6"/>
        </w:rPr>
        <w:t> </w:t>
      </w:r>
      <w:r>
        <w:rPr/>
        <w:t>de</w:t>
      </w:r>
      <w:r>
        <w:rPr>
          <w:spacing w:val="-7"/>
        </w:rPr>
        <w:t> </w:t>
      </w:r>
      <w:r>
        <w:rPr/>
        <w:t>los</w:t>
      </w:r>
      <w:r>
        <w:rPr>
          <w:spacing w:val="-4"/>
        </w:rPr>
        <w:t> </w:t>
      </w:r>
      <w:r>
        <w:rPr/>
        <w:t>Estados</w:t>
      </w:r>
      <w:r>
        <w:rPr>
          <w:spacing w:val="-7"/>
        </w:rPr>
        <w:t> </w:t>
      </w:r>
      <w:r>
        <w:rPr/>
        <w:t>Unidos</w:t>
      </w:r>
      <w:r>
        <w:rPr>
          <w:spacing w:val="-7"/>
        </w:rPr>
        <w:t> </w:t>
      </w:r>
      <w:r>
        <w:rPr/>
        <w:t>Mexicanos,</w:t>
      </w:r>
      <w:r>
        <w:rPr>
          <w:spacing w:val="-4"/>
        </w:rPr>
        <w:t> </w:t>
      </w:r>
      <w:r>
        <w:rPr>
          <w:spacing w:val="-2"/>
        </w:rPr>
        <w:t>decreta:</w:t>
      </w:r>
    </w:p>
    <w:p>
      <w:pPr>
        <w:pStyle w:val="Heading1"/>
        <w:spacing w:line="504" w:lineRule="exact" w:before="30"/>
        <w:ind w:left="2484" w:right="2628"/>
      </w:pPr>
      <w:r>
        <w:rPr/>
        <w:t>LEY</w:t>
      </w:r>
      <w:r>
        <w:rPr>
          <w:spacing w:val="-11"/>
        </w:rPr>
        <w:t> </w:t>
      </w:r>
      <w:r>
        <w:rPr/>
        <w:t>DE</w:t>
      </w:r>
      <w:r>
        <w:rPr>
          <w:spacing w:val="-11"/>
        </w:rPr>
        <w:t> </w:t>
      </w:r>
      <w:r>
        <w:rPr/>
        <w:t>COORDINACION</w:t>
      </w:r>
      <w:r>
        <w:rPr>
          <w:spacing w:val="-11"/>
        </w:rPr>
        <w:t> </w:t>
      </w:r>
      <w:r>
        <w:rPr/>
        <w:t>FISCAL CAPITULO I</w:t>
      </w:r>
    </w:p>
    <w:p>
      <w:pPr>
        <w:pStyle w:val="Heading2"/>
        <w:spacing w:line="200" w:lineRule="exact"/>
        <w:ind w:left="0" w:right="141"/>
      </w:pPr>
      <w:r>
        <w:rPr/>
        <w:t>De</w:t>
      </w:r>
      <w:r>
        <w:rPr>
          <w:spacing w:val="-7"/>
        </w:rPr>
        <w:t> </w:t>
      </w:r>
      <w:r>
        <w:rPr/>
        <w:t>las</w:t>
      </w:r>
      <w:r>
        <w:rPr>
          <w:spacing w:val="-4"/>
        </w:rPr>
        <w:t> </w:t>
      </w:r>
      <w:r>
        <w:rPr/>
        <w:t>Participaciones</w:t>
      </w:r>
      <w:r>
        <w:rPr>
          <w:spacing w:val="-6"/>
        </w:rPr>
        <w:t> </w:t>
      </w:r>
      <w:r>
        <w:rPr/>
        <w:t>de</w:t>
      </w:r>
      <w:r>
        <w:rPr>
          <w:spacing w:val="-4"/>
        </w:rPr>
        <w:t> </w:t>
      </w:r>
      <w:r>
        <w:rPr/>
        <w:t>los</w:t>
      </w:r>
      <w:r>
        <w:rPr>
          <w:spacing w:val="-7"/>
        </w:rPr>
        <w:t> </w:t>
      </w:r>
      <w:r>
        <w:rPr/>
        <w:t>Estados,</w:t>
      </w:r>
      <w:r>
        <w:rPr>
          <w:spacing w:val="-6"/>
        </w:rPr>
        <w:t> </w:t>
      </w:r>
      <w:r>
        <w:rPr/>
        <w:t>Municipios</w:t>
      </w:r>
      <w:r>
        <w:rPr>
          <w:spacing w:val="-4"/>
        </w:rPr>
        <w:t> </w:t>
      </w:r>
      <w:r>
        <w:rPr/>
        <w:t>y</w:t>
      </w:r>
      <w:r>
        <w:rPr>
          <w:spacing w:val="-8"/>
        </w:rPr>
        <w:t> </w:t>
      </w:r>
      <w:r>
        <w:rPr/>
        <w:t>Distrito</w:t>
      </w:r>
      <w:r>
        <w:rPr>
          <w:spacing w:val="-4"/>
        </w:rPr>
        <w:t> </w:t>
      </w:r>
      <w:r>
        <w:rPr/>
        <w:t>Federal</w:t>
      </w:r>
      <w:r>
        <w:rPr>
          <w:spacing w:val="-7"/>
        </w:rPr>
        <w:t> </w:t>
      </w:r>
      <w:r>
        <w:rPr/>
        <w:t>en</w:t>
      </w:r>
      <w:r>
        <w:rPr>
          <w:spacing w:val="-4"/>
        </w:rPr>
        <w:t> </w:t>
      </w:r>
      <w:r>
        <w:rPr>
          <w:spacing w:val="-2"/>
        </w:rPr>
        <w:t>Ingresos</w:t>
      </w:r>
    </w:p>
    <w:p>
      <w:pPr>
        <w:spacing w:line="253" w:lineRule="exact" w:before="0"/>
        <w:ind w:left="1156" w:right="1293" w:firstLine="0"/>
        <w:jc w:val="center"/>
        <w:rPr>
          <w:rFonts w:ascii="Arial"/>
          <w:b/>
          <w:sz w:val="22"/>
        </w:rPr>
      </w:pPr>
      <w:r>
        <w:rPr>
          <w:rFonts w:ascii="Arial"/>
          <w:b/>
          <w:spacing w:val="-2"/>
          <w:sz w:val="22"/>
        </w:rPr>
        <w:t>Federales</w:t>
      </w:r>
    </w:p>
    <w:p>
      <w:pPr>
        <w:pStyle w:val="BodyText"/>
        <w:spacing w:before="231"/>
        <w:ind w:left="1" w:right="143" w:firstLine="288"/>
        <w:jc w:val="both"/>
      </w:pPr>
      <w:bookmarkStart w:name="Artículo_1o" w:id="1"/>
      <w:bookmarkEnd w:id="1"/>
      <w:r>
        <w:rPr/>
      </w:r>
      <w:r>
        <w:rPr>
          <w:rFonts w:ascii="Arial" w:hAnsi="Arial"/>
          <w:b/>
        </w:rPr>
        <w:t>Artículo 1o.- </w:t>
      </w:r>
      <w:r>
        <w:rPr/>
        <w:t>Esta Ley tiene por objeto coordinar el sistema fiscal de la Federación con las entidades federativas, así como con los municipios y demarcaciones territoriales, para establecer la participación que corresponda a sus haciendas públicas en los ingresos federales; distribuir entre ellos dichas participaciones; fijar reglas de colaboración administrativa entre las diversas autoridades fiscales; constituir los organismos en materia de coordinación fiscal y dar las bases de su organización y </w:t>
      </w:r>
      <w:r>
        <w:rPr>
          <w:spacing w:val="-2"/>
        </w:rPr>
        <w:t>funcionamiento.</w:t>
      </w:r>
    </w:p>
    <w:p>
      <w:pPr>
        <w:pStyle w:val="BodyText"/>
        <w:spacing w:before="3"/>
      </w:pPr>
    </w:p>
    <w:p>
      <w:pPr>
        <w:pStyle w:val="BodyText"/>
        <w:ind w:left="1" w:right="155" w:firstLine="288"/>
        <w:jc w:val="both"/>
      </w:pPr>
      <w:r>
        <w:rPr/>
        <w:t>Cuando en esta Ley</w:t>
      </w:r>
      <w:r>
        <w:rPr>
          <w:spacing w:val="-2"/>
        </w:rPr>
        <w:t> </w:t>
      </w:r>
      <w:r>
        <w:rPr/>
        <w:t>se utilicen los términos entidades federativas o entidades, éstos se referirán a los Estados y al Distrito Federal.</w:t>
      </w:r>
    </w:p>
    <w:p>
      <w:pPr>
        <w:pStyle w:val="BodyText"/>
        <w:spacing w:before="229"/>
        <w:ind w:left="1" w:right="148" w:firstLine="288"/>
        <w:jc w:val="both"/>
      </w:pPr>
      <w:r>
        <w:rPr/>
        <w:t>La Secretaría de Hacienda y Crédito Público celebrará convenio con las entidades que soliciten adherirse al Sistema Nacional de Coordinación Fiscal que establece esta Ley. Dichas entidades participarán en</w:t>
      </w:r>
      <w:r>
        <w:rPr>
          <w:spacing w:val="-2"/>
        </w:rPr>
        <w:t> </w:t>
      </w:r>
      <w:r>
        <w:rPr/>
        <w:t>el</w:t>
      </w:r>
      <w:r>
        <w:rPr>
          <w:spacing w:val="-3"/>
        </w:rPr>
        <w:t> </w:t>
      </w:r>
      <w:r>
        <w:rPr/>
        <w:t>total</w:t>
      </w:r>
      <w:r>
        <w:rPr>
          <w:spacing w:val="-1"/>
        </w:rPr>
        <w:t> </w:t>
      </w:r>
      <w:r>
        <w:rPr/>
        <w:t>de</w:t>
      </w:r>
      <w:r>
        <w:rPr>
          <w:spacing w:val="-1"/>
        </w:rPr>
        <w:t> </w:t>
      </w:r>
      <w:r>
        <w:rPr/>
        <w:t>los</w:t>
      </w:r>
      <w:r>
        <w:rPr>
          <w:spacing w:val="-1"/>
        </w:rPr>
        <w:t> </w:t>
      </w:r>
      <w:r>
        <w:rPr/>
        <w:t>impuestos</w:t>
      </w:r>
      <w:r>
        <w:rPr>
          <w:spacing w:val="-1"/>
        </w:rPr>
        <w:t> </w:t>
      </w:r>
      <w:r>
        <w:rPr/>
        <w:t>federales y</w:t>
      </w:r>
      <w:r>
        <w:rPr>
          <w:spacing w:val="-5"/>
        </w:rPr>
        <w:t> </w:t>
      </w:r>
      <w:r>
        <w:rPr/>
        <w:t>en</w:t>
      </w:r>
      <w:r>
        <w:rPr>
          <w:spacing w:val="-2"/>
        </w:rPr>
        <w:t> </w:t>
      </w:r>
      <w:r>
        <w:rPr/>
        <w:t>los</w:t>
      </w:r>
      <w:r>
        <w:rPr>
          <w:spacing w:val="-1"/>
        </w:rPr>
        <w:t> </w:t>
      </w:r>
      <w:r>
        <w:rPr/>
        <w:t>otros ingresos</w:t>
      </w:r>
      <w:r>
        <w:rPr>
          <w:spacing w:val="-1"/>
        </w:rPr>
        <w:t> </w:t>
      </w:r>
      <w:r>
        <w:rPr/>
        <w:t>que</w:t>
      </w:r>
      <w:r>
        <w:rPr>
          <w:spacing w:val="-3"/>
        </w:rPr>
        <w:t> </w:t>
      </w:r>
      <w:r>
        <w:rPr/>
        <w:t>señale</w:t>
      </w:r>
      <w:r>
        <w:rPr>
          <w:spacing w:val="-2"/>
        </w:rPr>
        <w:t> </w:t>
      </w:r>
      <w:r>
        <w:rPr/>
        <w:t>esta</w:t>
      </w:r>
      <w:r>
        <w:rPr>
          <w:spacing w:val="-2"/>
        </w:rPr>
        <w:t> </w:t>
      </w:r>
      <w:r>
        <w:rPr/>
        <w:t>Ley</w:t>
      </w:r>
      <w:r>
        <w:rPr>
          <w:spacing w:val="-5"/>
        </w:rPr>
        <w:t> </w:t>
      </w:r>
      <w:r>
        <w:rPr/>
        <w:t>mediante</w:t>
      </w:r>
      <w:r>
        <w:rPr>
          <w:spacing w:val="-2"/>
        </w:rPr>
        <w:t> </w:t>
      </w:r>
      <w:r>
        <w:rPr/>
        <w:t>la distribución de los fondos que en la misma se establecen.</w:t>
      </w:r>
    </w:p>
    <w:p>
      <w:pPr>
        <w:pStyle w:val="BodyText"/>
        <w:spacing w:before="2"/>
      </w:pPr>
    </w:p>
    <w:p>
      <w:pPr>
        <w:pStyle w:val="BodyText"/>
        <w:spacing w:before="1"/>
        <w:ind w:left="1" w:right="149" w:firstLine="288"/>
        <w:jc w:val="both"/>
      </w:pPr>
      <w:r>
        <w:rPr/>
        <w:t>La información financiera que generen las entidades federativas y los municipios, relativa a la coordinación fiscal, se deberá regir por los principios de transparencia y de contabilidad gubernamental, en los términos de la Ley General de Contabilidad Gubernamental.</w:t>
      </w:r>
    </w:p>
    <w:p>
      <w:pPr>
        <w:spacing w:line="180" w:lineRule="exact" w:before="0"/>
        <w:ind w:left="535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28-12-1989,</w:t>
      </w:r>
      <w:r>
        <w:rPr>
          <w:rFonts w:ascii="Times New Roman" w:hAnsi="Times New Roman"/>
          <w:i/>
          <w:color w:val="0000FF"/>
          <w:spacing w:val="-8"/>
          <w:sz w:val="16"/>
        </w:rPr>
        <w:t> </w:t>
      </w:r>
      <w:r>
        <w:rPr>
          <w:rFonts w:ascii="Times New Roman" w:hAnsi="Times New Roman"/>
          <w:i/>
          <w:color w:val="0000FF"/>
          <w:sz w:val="16"/>
        </w:rPr>
        <w:t>31-12-2000,</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 w:right="146" w:firstLine="288"/>
        <w:jc w:val="both"/>
      </w:pPr>
      <w:bookmarkStart w:name="Artículo_2o" w:id="2"/>
      <w:bookmarkEnd w:id="2"/>
      <w:r>
        <w:rPr/>
      </w:r>
      <w:r>
        <w:rPr>
          <w:rFonts w:ascii="Arial" w:hAnsi="Arial"/>
          <w:b/>
        </w:rPr>
        <w:t>Artículo 2o.- </w:t>
      </w:r>
      <w:r>
        <w:rPr/>
        <w:t>El Fondo General de Participaciones se constituirá con el 20% de la recaudación federal participable que obtenga la federación en un ejercicio.</w:t>
      </w:r>
    </w:p>
    <w:p>
      <w:pPr>
        <w:spacing w:line="183" w:lineRule="exact" w:before="0"/>
        <w:ind w:left="620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26-12-1990,</w:t>
      </w:r>
      <w:r>
        <w:rPr>
          <w:rFonts w:ascii="Times New Roman" w:hAnsi="Times New Roman"/>
          <w:i/>
          <w:color w:val="0000FF"/>
          <w:spacing w:val="-8"/>
          <w:sz w:val="16"/>
        </w:rPr>
        <w:t> </w:t>
      </w:r>
      <w:r>
        <w:rPr>
          <w:rFonts w:ascii="Times New Roman" w:hAnsi="Times New Roman"/>
          <w:i/>
          <w:color w:val="0000FF"/>
          <w:sz w:val="16"/>
        </w:rPr>
        <w:t>15-12-</w:t>
      </w:r>
      <w:r>
        <w:rPr>
          <w:rFonts w:ascii="Times New Roman" w:hAnsi="Times New Roman"/>
          <w:i/>
          <w:color w:val="0000FF"/>
          <w:spacing w:val="-4"/>
          <w:sz w:val="16"/>
        </w:rPr>
        <w:t>1995</w:t>
      </w:r>
    </w:p>
    <w:p>
      <w:pPr>
        <w:spacing w:after="0" w:line="183" w:lineRule="exact"/>
        <w:jc w:val="left"/>
        <w:rPr>
          <w:rFonts w:ascii="Times New Roman" w:hAnsi="Times New Roman"/>
          <w:i/>
          <w:sz w:val="16"/>
        </w:rPr>
        <w:sectPr>
          <w:headerReference w:type="default" r:id="rId5"/>
          <w:footerReference w:type="default" r:id="rId6"/>
          <w:type w:val="continuous"/>
          <w:pgSz w:w="12250" w:h="15850"/>
          <w:pgMar w:header="724" w:footer="712" w:top="1880" w:bottom="900" w:left="1417" w:right="1275"/>
          <w:pgNumType w:start="1"/>
        </w:sectPr>
      </w:pPr>
    </w:p>
    <w:p>
      <w:pPr>
        <w:pStyle w:val="BodyText"/>
        <w:spacing w:before="67"/>
        <w:rPr>
          <w:rFonts w:ascii="Times New Roman"/>
          <w:i/>
        </w:rPr>
      </w:pPr>
    </w:p>
    <w:p>
      <w:pPr>
        <w:pStyle w:val="BodyText"/>
        <w:ind w:left="1" w:right="152" w:firstLine="288"/>
        <w:jc w:val="both"/>
      </w:pPr>
      <w:r>
        <w:rPr/>
        <w:t>La recaudación federal participable será la que obtenga la Federación por todos sus impuestos, así como por los derechos de minería, disminuidos con el total</w:t>
      </w:r>
      <w:r>
        <w:rPr>
          <w:spacing w:val="-1"/>
        </w:rPr>
        <w:t> </w:t>
      </w:r>
      <w:r>
        <w:rPr/>
        <w:t>de las devoluciones por dichas contribuciones y excluyendo los conceptos que a continuación se relacionan:</w:t>
      </w:r>
    </w:p>
    <w:p>
      <w:pPr>
        <w:spacing w:line="181" w:lineRule="exact" w:before="0"/>
        <w:ind w:left="703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009" w:val="left" w:leader="none"/>
        </w:tabs>
        <w:spacing w:line="242" w:lineRule="auto" w:before="0" w:after="0"/>
        <w:ind w:left="1009" w:right="141" w:hanging="720"/>
        <w:jc w:val="both"/>
        <w:rPr>
          <w:sz w:val="20"/>
        </w:rPr>
      </w:pPr>
      <w:r>
        <w:rPr>
          <w:sz w:val="20"/>
        </w:rPr>
        <w:t>El impuesto sobre la renta derivado de los contratos y asignaciones para la exploración y extracción de hidrocarburos a que se refiere la Ley de Ingresos sobre Hidrocarburos;</w:t>
      </w:r>
    </w:p>
    <w:p>
      <w:pPr>
        <w:spacing w:line="178" w:lineRule="exact" w:before="0"/>
        <w:ind w:left="695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006" w:val="left" w:leader="none"/>
          <w:tab w:pos="1009" w:val="left" w:leader="none"/>
        </w:tabs>
        <w:spacing w:line="240" w:lineRule="auto" w:before="1" w:after="0"/>
        <w:ind w:left="1009" w:right="149" w:hanging="720"/>
        <w:jc w:val="both"/>
        <w:rPr>
          <w:sz w:val="20"/>
        </w:rPr>
      </w:pPr>
      <w:r>
        <w:rPr>
          <w:sz w:val="20"/>
        </w:rPr>
        <w:t>El impuesto sobre la renta por concepto de salarios y, en general, por la prestación de un servicio personal subordinado causado por los servidores públicos de la Federación, de las entidades federativas, de los municipios y las demarcaciones territoriales del Distrito Federal, así como de sus organismos autónomos y entidades paraestatales y paramunicipales;</w:t>
      </w:r>
    </w:p>
    <w:p>
      <w:pPr>
        <w:pStyle w:val="BodyText"/>
      </w:pPr>
    </w:p>
    <w:p>
      <w:pPr>
        <w:pStyle w:val="ListParagraph"/>
        <w:numPr>
          <w:ilvl w:val="0"/>
          <w:numId w:val="1"/>
        </w:numPr>
        <w:tabs>
          <w:tab w:pos="1005" w:val="left" w:leader="none"/>
          <w:tab w:pos="1009" w:val="left" w:leader="none"/>
        </w:tabs>
        <w:spacing w:line="242" w:lineRule="auto" w:before="0" w:after="0"/>
        <w:ind w:left="1009" w:right="150" w:hanging="720"/>
        <w:jc w:val="both"/>
        <w:rPr>
          <w:sz w:val="20"/>
        </w:rPr>
      </w:pPr>
      <w:r>
        <w:rPr>
          <w:sz w:val="20"/>
        </w:rPr>
        <w:t>La</w:t>
      </w:r>
      <w:r>
        <w:rPr>
          <w:spacing w:val="-3"/>
          <w:sz w:val="20"/>
        </w:rPr>
        <w:t> </w:t>
      </w:r>
      <w:r>
        <w:rPr>
          <w:sz w:val="20"/>
        </w:rPr>
        <w:t>recaudación</w:t>
      </w:r>
      <w:r>
        <w:rPr>
          <w:spacing w:val="-2"/>
          <w:sz w:val="20"/>
        </w:rPr>
        <w:t> </w:t>
      </w:r>
      <w:r>
        <w:rPr>
          <w:sz w:val="20"/>
        </w:rPr>
        <w:t>total</w:t>
      </w:r>
      <w:r>
        <w:rPr>
          <w:spacing w:val="-3"/>
          <w:sz w:val="20"/>
        </w:rPr>
        <w:t> </w:t>
      </w:r>
      <w:r>
        <w:rPr>
          <w:sz w:val="20"/>
        </w:rPr>
        <w:t>que</w:t>
      </w:r>
      <w:r>
        <w:rPr>
          <w:spacing w:val="-2"/>
          <w:sz w:val="20"/>
        </w:rPr>
        <w:t> </w:t>
      </w:r>
      <w:r>
        <w:rPr>
          <w:sz w:val="20"/>
        </w:rPr>
        <w:t>se</w:t>
      </w:r>
      <w:r>
        <w:rPr>
          <w:spacing w:val="-2"/>
          <w:sz w:val="20"/>
        </w:rPr>
        <w:t> </w:t>
      </w:r>
      <w:r>
        <w:rPr>
          <w:sz w:val="20"/>
        </w:rPr>
        <w:t>obtenga de</w:t>
      </w:r>
      <w:r>
        <w:rPr>
          <w:spacing w:val="-3"/>
          <w:sz w:val="20"/>
        </w:rPr>
        <w:t> </w:t>
      </w:r>
      <w:r>
        <w:rPr>
          <w:sz w:val="20"/>
        </w:rPr>
        <w:t>los</w:t>
      </w:r>
      <w:r>
        <w:rPr>
          <w:spacing w:val="-1"/>
          <w:sz w:val="20"/>
        </w:rPr>
        <w:t> </w:t>
      </w:r>
      <w:r>
        <w:rPr>
          <w:sz w:val="20"/>
        </w:rPr>
        <w:t>derechos a</w:t>
      </w:r>
      <w:r>
        <w:rPr>
          <w:spacing w:val="-2"/>
          <w:sz w:val="20"/>
        </w:rPr>
        <w:t> </w:t>
      </w:r>
      <w:r>
        <w:rPr>
          <w:sz w:val="20"/>
        </w:rPr>
        <w:t>que</w:t>
      </w:r>
      <w:r>
        <w:rPr>
          <w:spacing w:val="-2"/>
          <w:sz w:val="20"/>
        </w:rPr>
        <w:t> </w:t>
      </w:r>
      <w:r>
        <w:rPr>
          <w:sz w:val="20"/>
        </w:rPr>
        <w:t>se</w:t>
      </w:r>
      <w:r>
        <w:rPr>
          <w:spacing w:val="-2"/>
          <w:sz w:val="20"/>
        </w:rPr>
        <w:t> </w:t>
      </w:r>
      <w:r>
        <w:rPr>
          <w:sz w:val="20"/>
        </w:rPr>
        <w:t>refieren los</w:t>
      </w:r>
      <w:r>
        <w:rPr>
          <w:spacing w:val="-1"/>
          <w:sz w:val="20"/>
        </w:rPr>
        <w:t> </w:t>
      </w:r>
      <w:r>
        <w:rPr>
          <w:sz w:val="20"/>
        </w:rPr>
        <w:t>artículos</w:t>
      </w:r>
      <w:r>
        <w:rPr>
          <w:spacing w:val="-1"/>
          <w:sz w:val="20"/>
        </w:rPr>
        <w:t> </w:t>
      </w:r>
      <w:r>
        <w:rPr>
          <w:sz w:val="20"/>
        </w:rPr>
        <w:t>268,</w:t>
      </w:r>
      <w:r>
        <w:rPr>
          <w:spacing w:val="-2"/>
          <w:sz w:val="20"/>
        </w:rPr>
        <w:t> </w:t>
      </w:r>
      <w:r>
        <w:rPr>
          <w:sz w:val="20"/>
        </w:rPr>
        <w:t>269 y 270 de la Ley Federal de Derechos;</w:t>
      </w:r>
    </w:p>
    <w:p>
      <w:pPr>
        <w:pStyle w:val="ListParagraph"/>
        <w:numPr>
          <w:ilvl w:val="0"/>
          <w:numId w:val="1"/>
        </w:numPr>
        <w:tabs>
          <w:tab w:pos="1009" w:val="left" w:leader="none"/>
        </w:tabs>
        <w:spacing w:line="240" w:lineRule="auto" w:before="226" w:after="0"/>
        <w:ind w:left="1009" w:right="151" w:hanging="720"/>
        <w:jc w:val="both"/>
        <w:rPr>
          <w:sz w:val="20"/>
        </w:rPr>
      </w:pPr>
      <w:r>
        <w:rPr>
          <w:sz w:val="20"/>
        </w:rPr>
        <w:t>Los incentivos que se establezcan en los convenios de colaboración administrativa en materia fiscal federal;</w:t>
      </w:r>
    </w:p>
    <w:p>
      <w:pPr>
        <w:pStyle w:val="ListParagraph"/>
        <w:numPr>
          <w:ilvl w:val="0"/>
          <w:numId w:val="1"/>
        </w:numPr>
        <w:tabs>
          <w:tab w:pos="1009" w:val="left" w:leader="none"/>
        </w:tabs>
        <w:spacing w:line="240" w:lineRule="auto" w:before="229" w:after="0"/>
        <w:ind w:left="1009" w:right="0" w:hanging="720"/>
        <w:jc w:val="left"/>
        <w:rPr>
          <w:sz w:val="20"/>
        </w:rPr>
      </w:pPr>
      <w:r>
        <w:rPr>
          <w:sz w:val="20"/>
        </w:rPr>
        <w:t>El</w:t>
      </w:r>
      <w:r>
        <w:rPr>
          <w:spacing w:val="-8"/>
          <w:sz w:val="20"/>
        </w:rPr>
        <w:t> </w:t>
      </w:r>
      <w:r>
        <w:rPr>
          <w:sz w:val="20"/>
        </w:rPr>
        <w:t>impuesto</w:t>
      </w:r>
      <w:r>
        <w:rPr>
          <w:spacing w:val="-10"/>
          <w:sz w:val="20"/>
        </w:rPr>
        <w:t> </w:t>
      </w:r>
      <w:r>
        <w:rPr>
          <w:sz w:val="20"/>
        </w:rPr>
        <w:t>sobre</w:t>
      </w:r>
      <w:r>
        <w:rPr>
          <w:spacing w:val="-7"/>
          <w:sz w:val="20"/>
        </w:rPr>
        <w:t> </w:t>
      </w:r>
      <w:r>
        <w:rPr>
          <w:sz w:val="20"/>
        </w:rPr>
        <w:t>automóviles</w:t>
      </w:r>
      <w:r>
        <w:rPr>
          <w:spacing w:val="-6"/>
          <w:sz w:val="20"/>
        </w:rPr>
        <w:t> </w:t>
      </w:r>
      <w:r>
        <w:rPr>
          <w:spacing w:val="-2"/>
          <w:sz w:val="20"/>
        </w:rPr>
        <w:t>nuevos;</w:t>
      </w:r>
    </w:p>
    <w:p>
      <w:pPr>
        <w:pStyle w:val="BodyText"/>
        <w:spacing w:before="1"/>
      </w:pPr>
    </w:p>
    <w:p>
      <w:pPr>
        <w:pStyle w:val="ListParagraph"/>
        <w:numPr>
          <w:ilvl w:val="0"/>
          <w:numId w:val="1"/>
        </w:numPr>
        <w:tabs>
          <w:tab w:pos="1009" w:val="left" w:leader="none"/>
        </w:tabs>
        <w:spacing w:line="242" w:lineRule="auto" w:before="0" w:after="0"/>
        <w:ind w:left="1009" w:right="152" w:hanging="720"/>
        <w:jc w:val="both"/>
        <w:rPr>
          <w:sz w:val="20"/>
        </w:rPr>
      </w:pPr>
      <w:r>
        <w:rPr>
          <w:sz w:val="20"/>
        </w:rPr>
        <w:t>La parte de la recaudación correspondiente al impuesto especial sobre producción y servicios en que participen las entidades en los términos del artículo 3o.-A de esta Ley;</w:t>
      </w:r>
    </w:p>
    <w:p>
      <w:pPr>
        <w:pStyle w:val="ListParagraph"/>
        <w:numPr>
          <w:ilvl w:val="0"/>
          <w:numId w:val="1"/>
        </w:numPr>
        <w:tabs>
          <w:tab w:pos="1009" w:val="left" w:leader="none"/>
        </w:tabs>
        <w:spacing w:line="242" w:lineRule="auto" w:before="224" w:after="0"/>
        <w:ind w:left="1009" w:right="138" w:hanging="720"/>
        <w:jc w:val="both"/>
        <w:rPr>
          <w:sz w:val="20"/>
        </w:rPr>
      </w:pPr>
      <w:r>
        <w:rPr>
          <w:sz w:val="20"/>
        </w:rPr>
        <w:t>La recaudación obtenida en términos de lo previsto en los artículos 2o., fracción II, inciso B) y 2o.-A, fracción II, de la Ley del Impuesto Especial sobre Producción y Servicios;</w:t>
      </w:r>
    </w:p>
    <w:p>
      <w:pPr>
        <w:pStyle w:val="ListParagraph"/>
        <w:numPr>
          <w:ilvl w:val="0"/>
          <w:numId w:val="1"/>
        </w:numPr>
        <w:tabs>
          <w:tab w:pos="1009" w:val="left" w:leader="none"/>
        </w:tabs>
        <w:spacing w:line="240" w:lineRule="auto" w:before="227" w:after="0"/>
        <w:ind w:left="1009" w:right="150" w:hanging="720"/>
        <w:jc w:val="both"/>
        <w:rPr>
          <w:sz w:val="20"/>
        </w:rPr>
      </w:pPr>
      <w:r>
        <w:rPr>
          <w:sz w:val="20"/>
        </w:rPr>
        <w:t>Las cantidades que se distribuyan a las entidades federativas de acuerdo con lo previsto en los artículos 4o.-A y 4o.-B de esta 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009" w:val="left" w:leader="none"/>
        </w:tabs>
        <w:spacing w:line="240" w:lineRule="auto" w:before="0" w:after="0"/>
        <w:ind w:left="1009" w:right="141" w:hanging="720"/>
        <w:jc w:val="both"/>
        <w:rPr>
          <w:sz w:val="20"/>
        </w:rPr>
      </w:pPr>
      <w:r>
        <w:rPr>
          <w:sz w:val="20"/>
        </w:rPr>
        <w:t>El excedente de los ingresos que obtenga la Federación por aplicar una tasa superior al 1% a los</w:t>
      </w:r>
      <w:r>
        <w:rPr>
          <w:spacing w:val="-2"/>
          <w:sz w:val="20"/>
        </w:rPr>
        <w:t> </w:t>
      </w:r>
      <w:r>
        <w:rPr>
          <w:sz w:val="20"/>
        </w:rPr>
        <w:t>ingresos</w:t>
      </w:r>
      <w:r>
        <w:rPr>
          <w:spacing w:val="-2"/>
          <w:sz w:val="20"/>
        </w:rPr>
        <w:t> </w:t>
      </w:r>
      <w:r>
        <w:rPr>
          <w:sz w:val="20"/>
        </w:rPr>
        <w:t>por</w:t>
      </w:r>
      <w:r>
        <w:rPr>
          <w:spacing w:val="-3"/>
          <w:sz w:val="20"/>
        </w:rPr>
        <w:t> </w:t>
      </w:r>
      <w:r>
        <w:rPr>
          <w:sz w:val="20"/>
        </w:rPr>
        <w:t>la</w:t>
      </w:r>
      <w:r>
        <w:rPr>
          <w:spacing w:val="-3"/>
          <w:sz w:val="20"/>
        </w:rPr>
        <w:t> </w:t>
      </w:r>
      <w:r>
        <w:rPr>
          <w:sz w:val="20"/>
        </w:rPr>
        <w:t>obtención</w:t>
      </w:r>
      <w:r>
        <w:rPr>
          <w:spacing w:val="-3"/>
          <w:sz w:val="20"/>
        </w:rPr>
        <w:t> </w:t>
      </w:r>
      <w:r>
        <w:rPr>
          <w:sz w:val="20"/>
        </w:rPr>
        <w:t>de</w:t>
      </w:r>
      <w:r>
        <w:rPr>
          <w:spacing w:val="-1"/>
          <w:sz w:val="20"/>
        </w:rPr>
        <w:t> </w:t>
      </w:r>
      <w:r>
        <w:rPr>
          <w:sz w:val="20"/>
        </w:rPr>
        <w:t>premios</w:t>
      </w:r>
      <w:r>
        <w:rPr>
          <w:spacing w:val="-2"/>
          <w:sz w:val="20"/>
        </w:rPr>
        <w:t> </w:t>
      </w:r>
      <w:r>
        <w:rPr>
          <w:sz w:val="20"/>
        </w:rPr>
        <w:t>a</w:t>
      </w:r>
      <w:r>
        <w:rPr>
          <w:spacing w:val="-4"/>
          <w:sz w:val="20"/>
        </w:rPr>
        <w:t> </w:t>
      </w:r>
      <w:r>
        <w:rPr>
          <w:sz w:val="20"/>
        </w:rPr>
        <w:t>que</w:t>
      </w:r>
      <w:r>
        <w:rPr>
          <w:spacing w:val="-3"/>
          <w:sz w:val="20"/>
        </w:rPr>
        <w:t> </w:t>
      </w:r>
      <w:r>
        <w:rPr>
          <w:sz w:val="20"/>
        </w:rPr>
        <w:t>se</w:t>
      </w:r>
      <w:r>
        <w:rPr>
          <w:spacing w:val="-3"/>
          <w:sz w:val="20"/>
        </w:rPr>
        <w:t> </w:t>
      </w:r>
      <w:r>
        <w:rPr>
          <w:sz w:val="20"/>
        </w:rPr>
        <w:t>refieren</w:t>
      </w:r>
      <w:r>
        <w:rPr>
          <w:spacing w:val="-4"/>
          <w:sz w:val="20"/>
        </w:rPr>
        <w:t> </w:t>
      </w:r>
      <w:r>
        <w:rPr>
          <w:sz w:val="20"/>
        </w:rPr>
        <w:t>los</w:t>
      </w:r>
      <w:r>
        <w:rPr>
          <w:spacing w:val="-2"/>
          <w:sz w:val="20"/>
        </w:rPr>
        <w:t> </w:t>
      </w:r>
      <w:r>
        <w:rPr>
          <w:sz w:val="20"/>
        </w:rPr>
        <w:t>artículos</w:t>
      </w:r>
      <w:r>
        <w:rPr>
          <w:spacing w:val="-2"/>
          <w:sz w:val="20"/>
        </w:rPr>
        <w:t> </w:t>
      </w:r>
      <w:r>
        <w:rPr>
          <w:sz w:val="20"/>
        </w:rPr>
        <w:t>138 y</w:t>
      </w:r>
      <w:r>
        <w:rPr>
          <w:spacing w:val="-6"/>
          <w:sz w:val="20"/>
        </w:rPr>
        <w:t> </w:t>
      </w:r>
      <w:r>
        <w:rPr>
          <w:sz w:val="20"/>
        </w:rPr>
        <w:t>169</w:t>
      </w:r>
      <w:r>
        <w:rPr>
          <w:spacing w:val="-1"/>
          <w:sz w:val="20"/>
        </w:rPr>
        <w:t> </w:t>
      </w:r>
      <w:r>
        <w:rPr>
          <w:sz w:val="20"/>
        </w:rPr>
        <w:t>de la</w:t>
      </w:r>
      <w:r>
        <w:rPr>
          <w:spacing w:val="-3"/>
          <w:sz w:val="20"/>
        </w:rPr>
        <w:t> </w:t>
      </w:r>
      <w:r>
        <w:rPr>
          <w:sz w:val="20"/>
        </w:rPr>
        <w:t>Ley</w:t>
      </w:r>
      <w:r>
        <w:rPr>
          <w:spacing w:val="-4"/>
          <w:sz w:val="20"/>
        </w:rPr>
        <w:t> </w:t>
      </w:r>
      <w:r>
        <w:rPr>
          <w:sz w:val="20"/>
        </w:rPr>
        <w:t>del Impuesto sobre la Renta, 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009" w:val="left" w:leader="none"/>
        </w:tabs>
        <w:spacing w:line="242" w:lineRule="auto" w:before="0" w:after="0"/>
        <w:ind w:left="1009" w:right="153" w:hanging="720"/>
        <w:jc w:val="left"/>
        <w:rPr>
          <w:sz w:val="20"/>
        </w:rPr>
      </w:pPr>
      <w:r>
        <w:rPr>
          <w:sz w:val="20"/>
        </w:rPr>
        <w:t>El impuesto por la actividad de exploración y extracción de hidrocarburos previsto en el Título Cuarto de la Ley de Ingresos sobre Hidrocarburos.</w:t>
      </w:r>
    </w:p>
    <w:p>
      <w:pPr>
        <w:spacing w:line="240" w:lineRule="auto" w:before="0"/>
        <w:ind w:left="3595" w:right="0" w:firstLine="3312"/>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11-08-2014</w:t>
      </w:r>
      <w:r>
        <w:rPr>
          <w:rFonts w:ascii="Times New Roman" w:hAnsi="Times New Roman"/>
          <w:i/>
          <w:color w:val="0000FF"/>
          <w:spacing w:val="40"/>
          <w:sz w:val="16"/>
        </w:rPr>
        <w:t> </w:t>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03-12-1993.</w:t>
      </w:r>
      <w:r>
        <w:rPr>
          <w:rFonts w:ascii="Times New Roman" w:hAnsi="Times New Roman"/>
          <w:i/>
          <w:color w:val="0000FF"/>
          <w:spacing w:val="-8"/>
          <w:sz w:val="16"/>
        </w:rPr>
        <w:t> </w:t>
      </w: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5"/>
        <w:rPr>
          <w:rFonts w:ascii="Times New Roman"/>
          <w:i/>
          <w:sz w:val="16"/>
        </w:rPr>
      </w:pPr>
    </w:p>
    <w:p>
      <w:pPr>
        <w:pStyle w:val="BodyText"/>
        <w:ind w:left="1" w:right="141" w:firstLine="288"/>
        <w:jc w:val="both"/>
      </w:pPr>
      <w:r>
        <w:rPr/>
        <w:t>Adicionalmente, la recaudación federal participable estará integrada por el 80.29% de los ingresos petroleros del Gobierno Federal a que se refiere el artículo 2, fracción XXX Bis, de la Ley Federal de Presupuesto y Responsabilidad Hacendaria, así como de los ingresos excedentes a que se refiere el tercer párrafo del artículo 93 de la misma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89"/>
      </w:pPr>
      <w:r>
        <w:rPr/>
        <mc:AlternateContent>
          <mc:Choice Requires="wps">
            <w:drawing>
              <wp:anchor distT="0" distB="0" distL="0" distR="0" allowOverlap="1" layoutInCell="1" locked="0" behindDoc="0" simplePos="0" relativeHeight="15728640">
                <wp:simplePos x="0" y="0"/>
                <wp:positionH relativeFrom="page">
                  <wp:posOffset>4013930</wp:posOffset>
                </wp:positionH>
                <wp:positionV relativeFrom="paragraph">
                  <wp:posOffset>413623</wp:posOffset>
                </wp:positionV>
                <wp:extent cx="80010" cy="10668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80010" cy="106680"/>
                        </a:xfrm>
                        <a:prstGeom prst="rect">
                          <a:avLst/>
                        </a:prstGeom>
                      </wps:spPr>
                      <wps:txbx>
                        <w:txbxContent>
                          <w:p>
                            <w:pPr>
                              <w:spacing w:line="168" w:lineRule="exact" w:before="0"/>
                              <w:ind w:left="0" w:right="0" w:firstLine="0"/>
                              <w:jc w:val="left"/>
                              <w:rPr>
                                <w:rFonts w:ascii="Times New Roman"/>
                                <w:i/>
                                <w:sz w:val="15"/>
                              </w:rPr>
                            </w:pPr>
                            <w:r>
                              <w:rPr>
                                <w:rFonts w:ascii="Times New Roman"/>
                                <w:i/>
                                <w:spacing w:val="-5"/>
                                <w:sz w:val="15"/>
                              </w:rPr>
                              <w:t>i</w:t>
                            </w:r>
                            <w:r>
                              <w:rPr>
                                <w:rFonts w:ascii="Times New Roman"/>
                                <w:spacing w:val="-5"/>
                                <w:sz w:val="15"/>
                              </w:rPr>
                              <w:t>,</w:t>
                            </w:r>
                            <w:r>
                              <w:rPr>
                                <w:rFonts w:ascii="Times New Roman"/>
                                <w:i/>
                                <w:spacing w:val="-5"/>
                                <w:sz w:val="15"/>
                              </w:rPr>
                              <w:t>t</w:t>
                            </w:r>
                          </w:p>
                        </w:txbxContent>
                      </wps:txbx>
                      <wps:bodyPr wrap="square" lIns="0" tIns="0" rIns="0" bIns="0" rtlCol="0">
                        <a:noAutofit/>
                      </wps:bodyPr>
                    </wps:wsp>
                  </a:graphicData>
                </a:graphic>
              </wp:anchor>
            </w:drawing>
          </mc:Choice>
          <mc:Fallback>
            <w:pict>
              <v:shape style="position:absolute;margin-left:316.057526pt;margin-top:32.568794pt;width:6.3pt;height:8.4pt;mso-position-horizontal-relative:page;mso-position-vertical-relative:paragraph;z-index:15728640" type="#_x0000_t202" id="docshape6" filled="false" stroked="false">
                <v:textbox inset="0,0,0,0">
                  <w:txbxContent>
                    <w:p>
                      <w:pPr>
                        <w:spacing w:line="168" w:lineRule="exact" w:before="0"/>
                        <w:ind w:left="0" w:right="0" w:firstLine="0"/>
                        <w:jc w:val="left"/>
                        <w:rPr>
                          <w:rFonts w:ascii="Times New Roman"/>
                          <w:i/>
                          <w:sz w:val="15"/>
                        </w:rPr>
                      </w:pPr>
                      <w:r>
                        <w:rPr>
                          <w:rFonts w:ascii="Times New Roman"/>
                          <w:i/>
                          <w:spacing w:val="-5"/>
                          <w:sz w:val="15"/>
                        </w:rPr>
                        <w:t>i</w:t>
                      </w:r>
                      <w:r>
                        <w:rPr>
                          <w:rFonts w:ascii="Times New Roman"/>
                          <w:spacing w:val="-5"/>
                          <w:sz w:val="15"/>
                        </w:rPr>
                        <w:t>,</w:t>
                      </w:r>
                      <w:r>
                        <w:rPr>
                          <w:rFonts w:ascii="Times New Roman"/>
                          <w:i/>
                          <w:spacing w:val="-5"/>
                          <w:sz w:val="15"/>
                        </w:rPr>
                        <w:t>t</w:t>
                      </w:r>
                    </w:p>
                  </w:txbxContent>
                </v:textbox>
                <w10:wrap type="none"/>
              </v:shape>
            </w:pict>
          </mc:Fallback>
        </mc:AlternateContent>
      </w:r>
      <w:r>
        <w:rPr/>
        <w:t>El</w:t>
      </w:r>
      <w:r>
        <w:rPr>
          <w:spacing w:val="-8"/>
        </w:rPr>
        <w:t> </w:t>
      </w:r>
      <w:r>
        <w:rPr/>
        <w:t>Fondo</w:t>
      </w:r>
      <w:r>
        <w:rPr>
          <w:spacing w:val="-7"/>
        </w:rPr>
        <w:t> </w:t>
      </w:r>
      <w:r>
        <w:rPr/>
        <w:t>General</w:t>
      </w:r>
      <w:r>
        <w:rPr>
          <w:spacing w:val="-6"/>
        </w:rPr>
        <w:t> </w:t>
      </w:r>
      <w:r>
        <w:rPr/>
        <w:t>de</w:t>
      </w:r>
      <w:r>
        <w:rPr>
          <w:spacing w:val="-6"/>
        </w:rPr>
        <w:t> </w:t>
      </w:r>
      <w:r>
        <w:rPr/>
        <w:t>Participaciones</w:t>
      </w:r>
      <w:r>
        <w:rPr>
          <w:spacing w:val="-6"/>
        </w:rPr>
        <w:t> </w:t>
      </w:r>
      <w:r>
        <w:rPr/>
        <w:t>se</w:t>
      </w:r>
      <w:r>
        <w:rPr>
          <w:spacing w:val="-6"/>
        </w:rPr>
        <w:t> </w:t>
      </w:r>
      <w:r>
        <w:rPr/>
        <w:t>distribuirá</w:t>
      </w:r>
      <w:r>
        <w:rPr>
          <w:spacing w:val="-7"/>
        </w:rPr>
        <w:t> </w:t>
      </w:r>
      <w:r>
        <w:rPr/>
        <w:t>conforme</w:t>
      </w:r>
      <w:r>
        <w:rPr>
          <w:spacing w:val="-7"/>
        </w:rPr>
        <w:t> </w:t>
      </w:r>
      <w:r>
        <w:rPr/>
        <w:t>a</w:t>
      </w:r>
      <w:r>
        <w:rPr>
          <w:spacing w:val="-7"/>
        </w:rPr>
        <w:t> </w:t>
      </w:r>
      <w:r>
        <w:rPr/>
        <w:t>la</w:t>
      </w:r>
      <w:r>
        <w:rPr>
          <w:spacing w:val="-7"/>
        </w:rPr>
        <w:t> </w:t>
      </w:r>
      <w:r>
        <w:rPr/>
        <w:t>fórmula</w:t>
      </w:r>
      <w:r>
        <w:rPr>
          <w:spacing w:val="-7"/>
        </w:rPr>
        <w:t> </w:t>
      </w:r>
      <w:r>
        <w:rPr>
          <w:spacing w:val="-2"/>
        </w:rPr>
        <w:t>siguiente:</w:t>
      </w:r>
    </w:p>
    <w:p>
      <w:pPr>
        <w:pStyle w:val="BodyText"/>
        <w:spacing w:after="0"/>
        <w:sectPr>
          <w:pgSz w:w="12250" w:h="15850"/>
          <w:pgMar w:header="724" w:footer="712" w:top="1880" w:bottom="900" w:left="1417" w:right="1275"/>
        </w:sectPr>
      </w:pPr>
    </w:p>
    <w:p>
      <w:pPr>
        <w:pStyle w:val="BodyText"/>
        <w:spacing w:before="81"/>
        <w:rPr>
          <w:sz w:val="15"/>
        </w:rPr>
      </w:pPr>
    </w:p>
    <w:p>
      <w:pPr>
        <w:spacing w:before="0"/>
        <w:ind w:left="0" w:right="0" w:firstLine="0"/>
        <w:jc w:val="right"/>
        <w:rPr>
          <w:rFonts w:ascii="Times New Roman"/>
          <w:i/>
          <w:sz w:val="15"/>
        </w:rPr>
      </w:pPr>
      <w:r>
        <w:rPr>
          <w:rFonts w:ascii="Times New Roman"/>
          <w:i/>
          <w:spacing w:val="-4"/>
          <w:position w:val="6"/>
          <w:sz w:val="26"/>
        </w:rPr>
        <w:t>P</w:t>
      </w:r>
      <w:r>
        <w:rPr>
          <w:rFonts w:ascii="Times New Roman"/>
          <w:i/>
          <w:spacing w:val="-4"/>
          <w:sz w:val="15"/>
        </w:rPr>
        <w:t>i</w:t>
      </w:r>
      <w:r>
        <w:rPr>
          <w:rFonts w:ascii="Times New Roman"/>
          <w:spacing w:val="-4"/>
          <w:sz w:val="15"/>
        </w:rPr>
        <w:t>,</w:t>
      </w:r>
      <w:r>
        <w:rPr>
          <w:rFonts w:ascii="Times New Roman"/>
          <w:i/>
          <w:spacing w:val="-4"/>
          <w:sz w:val="15"/>
        </w:rPr>
        <w:t>t</w:t>
      </w:r>
    </w:p>
    <w:p>
      <w:pPr>
        <w:spacing w:line="240" w:lineRule="auto" w:before="62"/>
        <w:rPr>
          <w:rFonts w:ascii="Times New Roman"/>
          <w:i/>
          <w:sz w:val="15"/>
        </w:rPr>
      </w:pPr>
      <w:r>
        <w:rPr/>
        <w:br w:type="column"/>
      </w:r>
      <w:r>
        <w:rPr>
          <w:rFonts w:ascii="Times New Roman"/>
          <w:i/>
          <w:sz w:val="15"/>
        </w:rPr>
      </w:r>
    </w:p>
    <w:p>
      <w:pPr>
        <w:spacing w:before="0"/>
        <w:ind w:left="58" w:right="0" w:firstLine="0"/>
        <w:jc w:val="left"/>
        <w:rPr>
          <w:rFonts w:ascii="Times New Roman" w:hAnsi="Times New Roman"/>
          <w:sz w:val="15"/>
        </w:rPr>
      </w:pPr>
      <w:r>
        <w:rPr>
          <w:rFonts w:ascii="Symbol" w:hAnsi="Symbol"/>
          <w:position w:val="6"/>
          <w:sz w:val="26"/>
        </w:rPr>
        <w:t></w:t>
      </w:r>
      <w:r>
        <w:rPr>
          <w:rFonts w:ascii="Times New Roman" w:hAnsi="Times New Roman"/>
          <w:spacing w:val="-4"/>
          <w:position w:val="6"/>
          <w:sz w:val="26"/>
        </w:rPr>
        <w:t> </w:t>
      </w:r>
      <w:r>
        <w:rPr>
          <w:rFonts w:ascii="Times New Roman" w:hAnsi="Times New Roman"/>
          <w:i/>
          <w:spacing w:val="-10"/>
          <w:position w:val="6"/>
          <w:sz w:val="26"/>
        </w:rPr>
        <w:t>P</w:t>
      </w:r>
      <w:r>
        <w:rPr>
          <w:rFonts w:ascii="Times New Roman" w:hAnsi="Times New Roman"/>
          <w:i/>
          <w:spacing w:val="-10"/>
          <w:sz w:val="15"/>
        </w:rPr>
        <w:t>i</w:t>
      </w:r>
      <w:r>
        <w:rPr>
          <w:rFonts w:ascii="Times New Roman" w:hAnsi="Times New Roman"/>
          <w:spacing w:val="-10"/>
          <w:sz w:val="15"/>
        </w:rPr>
        <w:t>,07</w:t>
      </w:r>
    </w:p>
    <w:p>
      <w:pPr>
        <w:spacing w:before="230"/>
        <w:ind w:left="40" w:right="0" w:firstLine="0"/>
        <w:jc w:val="left"/>
        <w:rPr>
          <w:rFonts w:ascii="Times New Roman" w:hAnsi="Times New Roman"/>
          <w:i/>
          <w:position w:val="-5"/>
          <w:sz w:val="15"/>
        </w:rPr>
      </w:pPr>
      <w:r>
        <w:rPr/>
        <w:br w:type="column"/>
      </w:r>
      <w:r>
        <w:rPr>
          <w:rFonts w:ascii="Symbol" w:hAnsi="Symbol"/>
          <w:spacing w:val="-6"/>
          <w:sz w:val="26"/>
        </w:rPr>
        <w:t></w:t>
      </w:r>
      <w:r>
        <w:rPr>
          <w:rFonts w:ascii="Times New Roman" w:hAnsi="Times New Roman"/>
          <w:spacing w:val="-15"/>
          <w:sz w:val="26"/>
        </w:rPr>
        <w:t> </w:t>
      </w:r>
      <w:r>
        <w:rPr>
          <w:rFonts w:ascii="Symbol" w:hAnsi="Symbol"/>
          <w:spacing w:val="-13"/>
          <w:sz w:val="26"/>
        </w:rPr>
        <w:t></w:t>
      </w:r>
      <w:r>
        <w:rPr>
          <w:rFonts w:ascii="Times New Roman" w:hAnsi="Times New Roman"/>
          <w:i/>
          <w:spacing w:val="-13"/>
          <w:sz w:val="26"/>
        </w:rPr>
        <w:t>FGP</w:t>
      </w:r>
      <w:r>
        <w:rPr>
          <w:rFonts w:ascii="Times New Roman" w:hAnsi="Times New Roman"/>
          <w:spacing w:val="-13"/>
          <w:position w:val="-5"/>
          <w:sz w:val="15"/>
        </w:rPr>
        <w:t>07,</w:t>
      </w:r>
      <w:r>
        <w:rPr>
          <w:rFonts w:ascii="Times New Roman" w:hAnsi="Times New Roman"/>
          <w:i/>
          <w:spacing w:val="-13"/>
          <w:position w:val="-5"/>
          <w:sz w:val="15"/>
        </w:rPr>
        <w:t>t</w:t>
      </w:r>
    </w:p>
    <w:p>
      <w:pPr>
        <w:spacing w:before="99"/>
        <w:ind w:left="0" w:right="0" w:firstLine="0"/>
        <w:jc w:val="left"/>
        <w:rPr>
          <w:rFonts w:ascii="Times New Roman" w:hAnsi="Times New Roman"/>
          <w:sz w:val="26"/>
        </w:rPr>
      </w:pPr>
      <w:r>
        <w:rPr/>
        <w:br w:type="column"/>
      </w:r>
      <w:r>
        <w:rPr>
          <w:rFonts w:ascii="Symbol" w:hAnsi="Symbol"/>
          <w:spacing w:val="-9"/>
          <w:w w:val="90"/>
          <w:sz w:val="39"/>
        </w:rPr>
        <w:t></w:t>
      </w:r>
      <w:r>
        <w:rPr>
          <w:rFonts w:ascii="Times New Roman" w:hAnsi="Times New Roman"/>
          <w:spacing w:val="-9"/>
          <w:w w:val="90"/>
          <w:sz w:val="26"/>
        </w:rPr>
        <w:t>0.6</w:t>
      </w:r>
      <w:r>
        <w:rPr>
          <w:rFonts w:ascii="Times New Roman" w:hAnsi="Times New Roman"/>
          <w:i/>
          <w:spacing w:val="-9"/>
          <w:w w:val="90"/>
          <w:sz w:val="26"/>
        </w:rPr>
        <w:t>C</w:t>
      </w:r>
      <w:r>
        <w:rPr>
          <w:rFonts w:ascii="Times New Roman" w:hAnsi="Times New Roman"/>
          <w:spacing w:val="-9"/>
          <w:w w:val="90"/>
          <w:sz w:val="26"/>
        </w:rPr>
        <w:t>1</w:t>
      </w:r>
    </w:p>
    <w:p>
      <w:pPr>
        <w:spacing w:before="230"/>
        <w:ind w:left="156" w:right="0" w:firstLine="0"/>
        <w:jc w:val="left"/>
        <w:rPr>
          <w:rFonts w:ascii="Times New Roman" w:hAnsi="Times New Roman"/>
          <w:sz w:val="26"/>
        </w:rPr>
      </w:pPr>
      <w:r>
        <w:rPr/>
        <w:br w:type="column"/>
      </w:r>
      <w:r>
        <w:rPr>
          <w:rFonts w:ascii="Symbol" w:hAnsi="Symbol"/>
          <w:spacing w:val="-8"/>
          <w:sz w:val="26"/>
        </w:rPr>
        <w:t></w:t>
      </w:r>
      <w:r>
        <w:rPr>
          <w:rFonts w:ascii="Times New Roman" w:hAnsi="Times New Roman"/>
          <w:spacing w:val="-14"/>
          <w:sz w:val="26"/>
        </w:rPr>
        <w:t> </w:t>
      </w:r>
      <w:r>
        <w:rPr>
          <w:rFonts w:ascii="Times New Roman" w:hAnsi="Times New Roman"/>
          <w:spacing w:val="-8"/>
          <w:sz w:val="26"/>
        </w:rPr>
        <w:t>0.3</w:t>
      </w:r>
      <w:r>
        <w:rPr>
          <w:rFonts w:ascii="Times New Roman" w:hAnsi="Times New Roman"/>
          <w:spacing w:val="-36"/>
          <w:sz w:val="26"/>
        </w:rPr>
        <w:t> </w:t>
      </w:r>
      <w:r>
        <w:rPr>
          <w:rFonts w:ascii="Times New Roman" w:hAnsi="Times New Roman"/>
          <w:i/>
          <w:spacing w:val="-8"/>
          <w:sz w:val="26"/>
        </w:rPr>
        <w:t>C</w:t>
      </w:r>
      <w:r>
        <w:rPr>
          <w:rFonts w:ascii="Times New Roman" w:hAnsi="Times New Roman"/>
          <w:spacing w:val="-8"/>
          <w:sz w:val="26"/>
        </w:rPr>
        <w:t>2</w:t>
      </w:r>
    </w:p>
    <w:p>
      <w:pPr>
        <w:spacing w:line="240" w:lineRule="auto" w:before="0"/>
        <w:rPr>
          <w:rFonts w:ascii="Times New Roman"/>
          <w:sz w:val="15"/>
        </w:rPr>
      </w:pPr>
      <w:r>
        <w:rPr/>
        <w:br w:type="column"/>
      </w:r>
      <w:r>
        <w:rPr>
          <w:rFonts w:ascii="Times New Roman"/>
          <w:sz w:val="15"/>
        </w:rPr>
      </w:r>
    </w:p>
    <w:p>
      <w:pPr>
        <w:pStyle w:val="BodyText"/>
        <w:spacing w:before="71"/>
        <w:rPr>
          <w:rFonts w:ascii="Times New Roman"/>
          <w:sz w:val="15"/>
        </w:rPr>
      </w:pPr>
    </w:p>
    <w:p>
      <w:pPr>
        <w:spacing w:before="0"/>
        <w:ind w:left="0" w:right="0" w:firstLine="0"/>
        <w:jc w:val="left"/>
        <w:rPr>
          <w:rFonts w:ascii="Times New Roman"/>
          <w:i/>
          <w:sz w:val="15"/>
        </w:rPr>
      </w:pPr>
      <w:r>
        <w:rPr>
          <w:rFonts w:ascii="Times New Roman"/>
          <w:i/>
          <w:spacing w:val="-5"/>
          <w:sz w:val="15"/>
        </w:rPr>
        <w:t>i</w:t>
      </w:r>
      <w:r>
        <w:rPr>
          <w:rFonts w:ascii="Times New Roman"/>
          <w:spacing w:val="-5"/>
          <w:sz w:val="15"/>
        </w:rPr>
        <w:t>,</w:t>
      </w:r>
      <w:r>
        <w:rPr>
          <w:rFonts w:ascii="Times New Roman"/>
          <w:i/>
          <w:spacing w:val="-5"/>
          <w:sz w:val="15"/>
        </w:rPr>
        <w:t>t</w:t>
      </w:r>
    </w:p>
    <w:p>
      <w:pPr>
        <w:spacing w:before="99"/>
        <w:ind w:left="45" w:right="0" w:firstLine="0"/>
        <w:jc w:val="left"/>
        <w:rPr>
          <w:rFonts w:ascii="Symbol" w:hAnsi="Symbol"/>
          <w:sz w:val="39"/>
        </w:rPr>
      </w:pPr>
      <w:r>
        <w:rPr/>
        <w:br w:type="column"/>
      </w:r>
      <w:r>
        <w:rPr>
          <w:rFonts w:ascii="Symbol" w:hAnsi="Symbol"/>
          <w:w w:val="95"/>
          <w:sz w:val="26"/>
        </w:rPr>
        <w:t></w:t>
      </w:r>
      <w:r>
        <w:rPr>
          <w:rFonts w:ascii="Times New Roman" w:hAnsi="Times New Roman"/>
          <w:spacing w:val="-15"/>
          <w:w w:val="95"/>
          <w:sz w:val="26"/>
        </w:rPr>
        <w:t> </w:t>
      </w:r>
      <w:r>
        <w:rPr>
          <w:rFonts w:ascii="Times New Roman" w:hAnsi="Times New Roman"/>
          <w:w w:val="95"/>
          <w:sz w:val="26"/>
        </w:rPr>
        <w:t>0.1</w:t>
      </w:r>
      <w:r>
        <w:rPr>
          <w:rFonts w:ascii="Times New Roman" w:hAnsi="Times New Roman"/>
          <w:i/>
          <w:w w:val="95"/>
          <w:sz w:val="26"/>
        </w:rPr>
        <w:t>C</w:t>
      </w:r>
      <w:r>
        <w:rPr>
          <w:rFonts w:ascii="Times New Roman" w:hAnsi="Times New Roman"/>
          <w:w w:val="95"/>
          <w:sz w:val="26"/>
        </w:rPr>
        <w:t>3</w:t>
      </w:r>
      <w:r>
        <w:rPr>
          <w:rFonts w:ascii="Times New Roman" w:hAnsi="Times New Roman"/>
          <w:i/>
          <w:w w:val="95"/>
          <w:position w:val="-5"/>
          <w:sz w:val="15"/>
        </w:rPr>
        <w:t>i</w:t>
      </w:r>
      <w:r>
        <w:rPr>
          <w:rFonts w:ascii="Times New Roman" w:hAnsi="Times New Roman"/>
          <w:w w:val="95"/>
          <w:position w:val="-5"/>
          <w:sz w:val="15"/>
        </w:rPr>
        <w:t>,</w:t>
      </w:r>
      <w:r>
        <w:rPr>
          <w:rFonts w:ascii="Times New Roman" w:hAnsi="Times New Roman"/>
          <w:i/>
          <w:w w:val="95"/>
          <w:position w:val="-5"/>
          <w:sz w:val="15"/>
        </w:rPr>
        <w:t>t</w:t>
      </w:r>
      <w:r>
        <w:rPr>
          <w:rFonts w:ascii="Times New Roman" w:hAnsi="Times New Roman"/>
          <w:i/>
          <w:spacing w:val="-5"/>
          <w:w w:val="95"/>
          <w:position w:val="-5"/>
          <w:sz w:val="15"/>
        </w:rPr>
        <w:t> </w:t>
      </w:r>
      <w:r>
        <w:rPr>
          <w:rFonts w:ascii="Symbol" w:hAnsi="Symbol"/>
          <w:spacing w:val="-10"/>
          <w:w w:val="95"/>
          <w:sz w:val="39"/>
        </w:rPr>
        <w:t></w:t>
      </w:r>
    </w:p>
    <w:p>
      <w:pPr>
        <w:spacing w:after="0"/>
        <w:jc w:val="left"/>
        <w:rPr>
          <w:rFonts w:ascii="Symbol" w:hAnsi="Symbol"/>
          <w:sz w:val="39"/>
        </w:rPr>
        <w:sectPr>
          <w:type w:val="continuous"/>
          <w:pgSz w:w="12250" w:h="15850"/>
          <w:pgMar w:header="724" w:footer="712" w:top="1880" w:bottom="900" w:left="1417" w:right="1275"/>
          <w:cols w:num="7" w:equalWidth="0">
            <w:col w:w="2512" w:space="40"/>
            <w:col w:w="610" w:space="39"/>
            <w:col w:w="1036" w:space="37"/>
            <w:col w:w="645" w:space="40"/>
            <w:col w:w="982" w:space="3"/>
            <w:col w:w="126" w:space="39"/>
            <w:col w:w="3449"/>
          </w:cols>
        </w:sectPr>
      </w:pPr>
    </w:p>
    <w:p>
      <w:pPr>
        <w:pStyle w:val="BodyText"/>
        <w:spacing w:before="129"/>
        <w:rPr>
          <w:rFonts w:ascii="Symbol" w:hAnsi="Symbol"/>
          <w:sz w:val="14"/>
        </w:rPr>
      </w:pPr>
    </w:p>
    <w:p>
      <w:pPr>
        <w:spacing w:line="332" w:lineRule="exact" w:before="0" w:after="12"/>
        <w:ind w:left="497" w:right="0" w:firstLine="0"/>
        <w:jc w:val="center"/>
        <w:rPr>
          <w:rFonts w:ascii="Times New Roman" w:hAnsi="Times New Roman"/>
          <w:i/>
          <w:position w:val="-10"/>
          <w:sz w:val="24"/>
        </w:rPr>
      </w:pPr>
      <w:r>
        <w:rPr>
          <w:rFonts w:ascii="Times New Roman" w:hAnsi="Times New Roman"/>
          <w:i/>
          <w:position w:val="6"/>
          <w:sz w:val="24"/>
        </w:rPr>
        <w:t>PIB</w:t>
      </w:r>
      <w:r>
        <w:rPr>
          <w:rFonts w:ascii="Times New Roman" w:hAnsi="Times New Roman"/>
          <w:i/>
          <w:sz w:val="14"/>
        </w:rPr>
        <w:t>i</w:t>
      </w:r>
      <w:r>
        <w:rPr>
          <w:rFonts w:ascii="Times New Roman" w:hAnsi="Times New Roman"/>
          <w:sz w:val="14"/>
        </w:rPr>
        <w:t>,</w:t>
      </w:r>
      <w:r>
        <w:rPr>
          <w:rFonts w:ascii="Times New Roman" w:hAnsi="Times New Roman"/>
          <w:i/>
          <w:sz w:val="14"/>
        </w:rPr>
        <w:t>t</w:t>
      </w:r>
      <w:r>
        <w:rPr>
          <w:rFonts w:ascii="Times New Roman" w:hAnsi="Times New Roman"/>
          <w:i/>
          <w:spacing w:val="-23"/>
          <w:sz w:val="14"/>
        </w:rPr>
        <w:t> </w:t>
      </w:r>
      <w:r>
        <w:rPr>
          <w:rFonts w:ascii="Symbol" w:hAnsi="Symbol"/>
          <w:sz w:val="14"/>
        </w:rPr>
        <w:t></w:t>
      </w:r>
      <w:r>
        <w:rPr>
          <w:rFonts w:ascii="Times New Roman" w:hAnsi="Times New Roman"/>
          <w:sz w:val="14"/>
        </w:rPr>
        <w:t>1</w:t>
      </w:r>
      <w:r>
        <w:rPr>
          <w:rFonts w:ascii="Times New Roman" w:hAnsi="Times New Roman"/>
          <w:spacing w:val="32"/>
          <w:sz w:val="14"/>
        </w:rPr>
        <w:t> </w:t>
      </w:r>
      <w:r>
        <w:rPr>
          <w:rFonts w:ascii="Times New Roman" w:hAnsi="Times New Roman"/>
          <w:i/>
          <w:spacing w:val="-10"/>
          <w:position w:val="-10"/>
          <w:sz w:val="24"/>
        </w:rPr>
        <w:t>n</w:t>
      </w:r>
    </w:p>
    <w:p>
      <w:pPr>
        <w:pStyle w:val="BodyText"/>
        <w:spacing w:line="20" w:lineRule="exact"/>
        <w:ind w:left="4575"/>
        <w:rPr>
          <w:rFonts w:ascii="Times New Roman"/>
          <w:sz w:val="2"/>
        </w:rPr>
      </w:pPr>
      <w:r>
        <w:rPr>
          <w:rFonts w:ascii="Times New Roman"/>
          <w:sz w:val="2"/>
        </w:rPr>
        <mc:AlternateContent>
          <mc:Choice Requires="wps">
            <w:drawing>
              <wp:inline distT="0" distB="0" distL="0" distR="0">
                <wp:extent cx="451484" cy="1905"/>
                <wp:effectExtent l="9525" t="0" r="0" b="7620"/>
                <wp:docPr id="8" name="Group 8"/>
                <wp:cNvGraphicFramePr>
                  <a:graphicFrameLocks/>
                </wp:cNvGraphicFramePr>
                <a:graphic>
                  <a:graphicData uri="http://schemas.microsoft.com/office/word/2010/wordprocessingGroup">
                    <wpg:wgp>
                      <wpg:cNvPr id="8" name="Group 8"/>
                      <wpg:cNvGrpSpPr/>
                      <wpg:grpSpPr>
                        <a:xfrm>
                          <a:off x="0" y="0"/>
                          <a:ext cx="451484" cy="1905"/>
                          <a:chExt cx="451484" cy="1905"/>
                        </a:xfrm>
                      </wpg:grpSpPr>
                      <wps:wsp>
                        <wps:cNvPr id="9" name="Graphic 9"/>
                        <wps:cNvSpPr/>
                        <wps:spPr>
                          <a:xfrm>
                            <a:off x="0" y="884"/>
                            <a:ext cx="451484" cy="1270"/>
                          </a:xfrm>
                          <a:custGeom>
                            <a:avLst/>
                            <a:gdLst/>
                            <a:ahLst/>
                            <a:cxnLst/>
                            <a:rect l="l" t="t" r="r" b="b"/>
                            <a:pathLst>
                              <a:path w="451484" h="0">
                                <a:moveTo>
                                  <a:pt x="0" y="0"/>
                                </a:moveTo>
                                <a:lnTo>
                                  <a:pt x="451053" y="0"/>
                                </a:lnTo>
                              </a:path>
                            </a:pathLst>
                          </a:custGeom>
                          <a:ln w="17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5.550pt;height:.15pt;mso-position-horizontal-relative:char;mso-position-vertical-relative:line" id="docshapegroup7" coordorigin="0,0" coordsize="711,3">
                <v:line style="position:absolute" from="0,1" to="710,1" stroked="true" strokeweight=".139224pt" strokecolor="#000000">
                  <v:stroke dashstyle="solid"/>
                </v:line>
              </v:group>
            </w:pict>
          </mc:Fallback>
        </mc:AlternateContent>
      </w:r>
      <w:r>
        <w:rPr>
          <w:rFonts w:ascii="Times New Roman"/>
          <w:sz w:val="2"/>
        </w:rPr>
      </w:r>
    </w:p>
    <w:p>
      <w:pPr>
        <w:pStyle w:val="BodyText"/>
        <w:spacing w:after="0" w:line="20" w:lineRule="exact"/>
        <w:rPr>
          <w:rFonts w:ascii="Times New Roman"/>
          <w:sz w:val="2"/>
        </w:rPr>
        <w:sectPr>
          <w:pgSz w:w="12250" w:h="15850"/>
          <w:pgMar w:header="724" w:footer="712" w:top="1880" w:bottom="900" w:left="1417" w:right="1275"/>
        </w:sectPr>
      </w:pPr>
    </w:p>
    <w:p>
      <w:pPr>
        <w:tabs>
          <w:tab w:pos="476" w:val="left" w:leader="none"/>
        </w:tabs>
        <w:spacing w:line="177" w:lineRule="exact" w:before="149"/>
        <w:ind w:left="0" w:right="0" w:firstLine="0"/>
        <w:jc w:val="right"/>
        <w:rPr>
          <w:rFonts w:ascii="Symbol" w:hAnsi="Symbol"/>
          <w:sz w:val="24"/>
        </w:rPr>
      </w:pPr>
      <w:r>
        <w:rPr>
          <w:rFonts w:ascii="Times New Roman" w:hAnsi="Times New Roman"/>
          <w:i/>
          <w:spacing w:val="-5"/>
          <w:sz w:val="24"/>
        </w:rPr>
        <w:t>C</w:t>
      </w:r>
      <w:r>
        <w:rPr>
          <w:rFonts w:ascii="Times New Roman" w:hAnsi="Times New Roman"/>
          <w:spacing w:val="-5"/>
          <w:sz w:val="24"/>
        </w:rPr>
        <w:t>1</w:t>
      </w:r>
      <w:r>
        <w:rPr>
          <w:rFonts w:ascii="Times New Roman" w:hAnsi="Times New Roman"/>
          <w:sz w:val="24"/>
        </w:rPr>
        <w:tab/>
      </w:r>
      <w:r>
        <w:rPr>
          <w:rFonts w:ascii="Symbol" w:hAnsi="Symbol"/>
          <w:spacing w:val="-10"/>
          <w:sz w:val="24"/>
        </w:rPr>
        <w:t></w:t>
      </w:r>
    </w:p>
    <w:p>
      <w:pPr>
        <w:spacing w:line="270" w:lineRule="exact" w:before="0"/>
        <w:ind w:left="251" w:right="0" w:firstLine="0"/>
        <w:jc w:val="left"/>
        <w:rPr>
          <w:rFonts w:ascii="Times New Roman"/>
          <w:i/>
          <w:sz w:val="24"/>
        </w:rPr>
      </w:pPr>
      <w:r>
        <w:rPr/>
        <w:br w:type="column"/>
      </w:r>
      <w:r>
        <w:rPr>
          <w:rFonts w:ascii="Times New Roman"/>
          <w:i/>
          <w:spacing w:val="-10"/>
          <w:sz w:val="24"/>
        </w:rPr>
        <w:t>PIB</w:t>
      </w:r>
    </w:p>
    <w:p>
      <w:pPr>
        <w:spacing w:line="123" w:lineRule="exact" w:before="0"/>
        <w:ind w:left="482" w:right="0" w:firstLine="0"/>
        <w:jc w:val="left"/>
        <w:rPr>
          <w:rFonts w:ascii="Times New Roman"/>
          <w:i/>
          <w:sz w:val="14"/>
        </w:rPr>
      </w:pPr>
      <w:r>
        <w:rPr/>
        <w:br w:type="column"/>
      </w:r>
      <w:r>
        <w:rPr>
          <w:rFonts w:ascii="Times New Roman"/>
          <w:i/>
          <w:spacing w:val="-10"/>
          <w:sz w:val="14"/>
        </w:rPr>
        <w:t>i</w:t>
      </w:r>
    </w:p>
    <w:p>
      <w:pPr>
        <w:spacing w:before="14"/>
        <w:ind w:left="0" w:right="0" w:firstLine="0"/>
        <w:jc w:val="left"/>
        <w:rPr>
          <w:rFonts w:ascii="Times New Roman" w:hAnsi="Times New Roman"/>
          <w:sz w:val="14"/>
        </w:rPr>
      </w:pPr>
      <w:r>
        <w:rPr>
          <w:rFonts w:ascii="Times New Roman" w:hAnsi="Times New Roman"/>
          <w:i/>
          <w:sz w:val="14"/>
        </w:rPr>
        <w:t>i</w:t>
      </w:r>
      <w:r>
        <w:rPr>
          <w:rFonts w:ascii="Times New Roman" w:hAnsi="Times New Roman"/>
          <w:sz w:val="14"/>
        </w:rPr>
        <w:t>,</w:t>
      </w:r>
      <w:r>
        <w:rPr>
          <w:rFonts w:ascii="Times New Roman" w:hAnsi="Times New Roman"/>
          <w:i/>
          <w:sz w:val="14"/>
        </w:rPr>
        <w:t>t</w:t>
      </w:r>
      <w:r>
        <w:rPr>
          <w:rFonts w:ascii="Times New Roman" w:hAnsi="Times New Roman"/>
          <w:i/>
          <w:spacing w:val="-17"/>
          <w:sz w:val="14"/>
        </w:rPr>
        <w:t> </w:t>
      </w:r>
      <w:r>
        <w:rPr>
          <w:rFonts w:ascii="Symbol" w:hAnsi="Symbol"/>
          <w:spacing w:val="-5"/>
          <w:sz w:val="14"/>
        </w:rPr>
        <w:t></w:t>
      </w:r>
      <w:r>
        <w:rPr>
          <w:rFonts w:ascii="Times New Roman" w:hAnsi="Times New Roman"/>
          <w:spacing w:val="-5"/>
          <w:sz w:val="14"/>
        </w:rPr>
        <w:t>2</w:t>
      </w:r>
    </w:p>
    <w:p>
      <w:pPr>
        <w:spacing w:after="0"/>
        <w:jc w:val="left"/>
        <w:rPr>
          <w:rFonts w:ascii="Times New Roman" w:hAnsi="Times New Roman"/>
          <w:sz w:val="14"/>
        </w:rPr>
        <w:sectPr>
          <w:type w:val="continuous"/>
          <w:pgSz w:w="12250" w:h="15850"/>
          <w:pgMar w:header="724" w:footer="712" w:top="1880" w:bottom="900" w:left="1417" w:right="1275"/>
          <w:cols w:num="3" w:equalWidth="0">
            <w:col w:w="4302" w:space="40"/>
            <w:col w:w="608" w:space="7"/>
            <w:col w:w="4601"/>
          </w:cols>
        </w:sectPr>
      </w:pPr>
    </w:p>
    <w:p>
      <w:pPr>
        <w:spacing w:line="154" w:lineRule="exact" w:before="0"/>
        <w:ind w:left="0" w:right="0" w:firstLine="0"/>
        <w:jc w:val="right"/>
        <w:rPr>
          <w:rFonts w:ascii="Times New Roman"/>
          <w:i/>
          <w:sz w:val="14"/>
        </w:rPr>
      </w:pPr>
      <w:r>
        <w:rPr>
          <w:rFonts w:ascii="Times New Roman"/>
          <w:i/>
          <w:spacing w:val="-5"/>
          <w:sz w:val="14"/>
        </w:rPr>
        <w:t>i</w:t>
      </w:r>
      <w:r>
        <w:rPr>
          <w:rFonts w:ascii="Times New Roman"/>
          <w:spacing w:val="-5"/>
          <w:sz w:val="14"/>
        </w:rPr>
        <w:t>,</w:t>
      </w:r>
      <w:r>
        <w:rPr>
          <w:rFonts w:ascii="Times New Roman"/>
          <w:i/>
          <w:spacing w:val="-5"/>
          <w:sz w:val="14"/>
        </w:rPr>
        <w:t>t</w:t>
      </w:r>
    </w:p>
    <w:p>
      <w:pPr>
        <w:spacing w:line="20" w:lineRule="exact"/>
        <w:ind w:left="255" w:right="0" w:firstLine="0"/>
        <w:rPr>
          <w:rFonts w:ascii="Times New Roman"/>
          <w:sz w:val="2"/>
        </w:rPr>
      </w:pPr>
      <w:r>
        <w:rPr/>
        <w:br w:type="column"/>
      </w:r>
      <w:r>
        <w:rPr>
          <w:rFonts w:ascii="Times New Roman"/>
          <w:sz w:val="2"/>
        </w:rPr>
        <mc:AlternateContent>
          <mc:Choice Requires="wps">
            <w:drawing>
              <wp:inline distT="0" distB="0" distL="0" distR="0">
                <wp:extent cx="849630" cy="1905"/>
                <wp:effectExtent l="9525" t="0" r="0" b="7620"/>
                <wp:docPr id="10" name="Group 10"/>
                <wp:cNvGraphicFramePr>
                  <a:graphicFrameLocks/>
                </wp:cNvGraphicFramePr>
                <a:graphic>
                  <a:graphicData uri="http://schemas.microsoft.com/office/word/2010/wordprocessingGroup">
                    <wpg:wgp>
                      <wpg:cNvPr id="10" name="Group 10"/>
                      <wpg:cNvGrpSpPr/>
                      <wpg:grpSpPr>
                        <a:xfrm>
                          <a:off x="0" y="0"/>
                          <a:ext cx="849630" cy="1905"/>
                          <a:chExt cx="849630" cy="1905"/>
                        </a:xfrm>
                      </wpg:grpSpPr>
                      <wps:wsp>
                        <wps:cNvPr id="11" name="Graphic 11"/>
                        <wps:cNvSpPr/>
                        <wps:spPr>
                          <a:xfrm>
                            <a:off x="0" y="884"/>
                            <a:ext cx="849630" cy="1270"/>
                          </a:xfrm>
                          <a:custGeom>
                            <a:avLst/>
                            <a:gdLst/>
                            <a:ahLst/>
                            <a:cxnLst/>
                            <a:rect l="l" t="t" r="r" b="b"/>
                            <a:pathLst>
                              <a:path w="849630" h="0">
                                <a:moveTo>
                                  <a:pt x="0" y="0"/>
                                </a:moveTo>
                                <a:lnTo>
                                  <a:pt x="849317" y="0"/>
                                </a:lnTo>
                              </a:path>
                            </a:pathLst>
                          </a:custGeom>
                          <a:ln w="17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6.9pt;height:.15pt;mso-position-horizontal-relative:char;mso-position-vertical-relative:line" id="docshapegroup8" coordorigin="0,0" coordsize="1338,3">
                <v:line style="position:absolute" from="0,1" to="1338,1" stroked="true" strokeweight=".139224pt" strokecolor="#000000">
                  <v:stroke dashstyle="solid"/>
                </v:line>
              </v:group>
            </w:pict>
          </mc:Fallback>
        </mc:AlternateContent>
      </w:r>
      <w:r>
        <w:rPr>
          <w:rFonts w:ascii="Times New Roman"/>
          <w:sz w:val="2"/>
        </w:rPr>
      </w:r>
    </w:p>
    <w:p>
      <w:pPr>
        <w:spacing w:line="172" w:lineRule="auto" w:before="3"/>
        <w:ind w:left="594" w:right="0" w:firstLine="0"/>
        <w:jc w:val="left"/>
        <w:rPr>
          <w:rFonts w:ascii="Times New Roman" w:hAnsi="Times New Roman"/>
          <w:i/>
          <w:position w:val="-10"/>
          <w:sz w:val="24"/>
        </w:rPr>
      </w:pPr>
      <w:r>
        <w:rPr>
          <w:rFonts w:ascii="Times New Roman" w:hAnsi="Times New Roman"/>
          <w:i/>
          <w:position w:val="-10"/>
          <w:sz w:val="24"/>
        </w:rPr>
        <mc:AlternateContent>
          <mc:Choice Requires="wps">
            <w:drawing>
              <wp:anchor distT="0" distB="0" distL="0" distR="0" allowOverlap="1" layoutInCell="1" locked="0" behindDoc="1" simplePos="0" relativeHeight="486318080">
                <wp:simplePos x="0" y="0"/>
                <wp:positionH relativeFrom="page">
                  <wp:posOffset>3872625</wp:posOffset>
                </wp:positionH>
                <wp:positionV relativeFrom="paragraph">
                  <wp:posOffset>201068</wp:posOffset>
                </wp:positionV>
                <wp:extent cx="451484"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451484" cy="1270"/>
                        </a:xfrm>
                        <a:custGeom>
                          <a:avLst/>
                          <a:gdLst/>
                          <a:ahLst/>
                          <a:cxnLst/>
                          <a:rect l="l" t="t" r="r" b="b"/>
                          <a:pathLst>
                            <a:path w="451484" h="0">
                              <a:moveTo>
                                <a:pt x="0" y="0"/>
                              </a:moveTo>
                              <a:lnTo>
                                <a:pt x="451368" y="0"/>
                              </a:lnTo>
                            </a:path>
                          </a:pathLst>
                        </a:custGeom>
                        <a:ln w="176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998400" from="304.931122pt,15.832182pt" to="340.471971pt,15.832201pt" stroked="true" strokeweight=".139224pt" strokecolor="#000000">
                <v:stroke dashstyle="solid"/>
                <w10:wrap type="none"/>
              </v:line>
            </w:pict>
          </mc:Fallback>
        </mc:AlternateContent>
      </w:r>
      <w:r>
        <w:rPr>
          <w:rFonts w:ascii="Times New Roman" w:hAnsi="Times New Roman"/>
          <w:i/>
          <w:position w:val="-10"/>
          <w:sz w:val="24"/>
        </w:rPr>
        <mc:AlternateContent>
          <mc:Choice Requires="wps">
            <w:drawing>
              <wp:anchor distT="0" distB="0" distL="0" distR="0" allowOverlap="1" layoutInCell="1" locked="0" behindDoc="0" simplePos="0" relativeHeight="15732224">
                <wp:simplePos x="0" y="0"/>
                <wp:positionH relativeFrom="page">
                  <wp:posOffset>3680997</wp:posOffset>
                </wp:positionH>
                <wp:positionV relativeFrom="paragraph">
                  <wp:posOffset>40905</wp:posOffset>
                </wp:positionV>
                <wp:extent cx="161925" cy="27876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1925" cy="278765"/>
                        </a:xfrm>
                        <a:prstGeom prst="rect">
                          <a:avLst/>
                        </a:prstGeom>
                      </wps:spPr>
                      <wps:txbx>
                        <w:txbxContent>
                          <w:p>
                            <w:pPr>
                              <w:spacing w:before="7"/>
                              <w:ind w:left="0" w:right="0" w:firstLine="0"/>
                              <w:jc w:val="left"/>
                              <w:rPr>
                                <w:rFonts w:ascii="Symbol" w:hAnsi="Symbol"/>
                                <w:sz w:val="35"/>
                              </w:rPr>
                            </w:pPr>
                            <w:r>
                              <w:rPr>
                                <w:rFonts w:ascii="Symbol" w:hAnsi="Symbol"/>
                                <w:spacing w:val="-10"/>
                                <w:sz w:val="35"/>
                              </w:rPr>
                              <w:t></w:t>
                            </w:r>
                          </w:p>
                        </w:txbxContent>
                      </wps:txbx>
                      <wps:bodyPr wrap="square" lIns="0" tIns="0" rIns="0" bIns="0" rtlCol="0">
                        <a:noAutofit/>
                      </wps:bodyPr>
                    </wps:wsp>
                  </a:graphicData>
                </a:graphic>
              </wp:anchor>
            </w:drawing>
          </mc:Choice>
          <mc:Fallback>
            <w:pict>
              <v:shape style="position:absolute;margin-left:289.842346pt;margin-top:3.220877pt;width:12.75pt;height:21.95pt;mso-position-horizontal-relative:page;mso-position-vertical-relative:paragraph;z-index:15732224" type="#_x0000_t202" id="docshape9" filled="false" stroked="false">
                <v:textbox inset="0,0,0,0">
                  <w:txbxContent>
                    <w:p>
                      <w:pPr>
                        <w:spacing w:before="7"/>
                        <w:ind w:left="0" w:right="0" w:firstLine="0"/>
                        <w:jc w:val="left"/>
                        <w:rPr>
                          <w:rFonts w:ascii="Symbol" w:hAnsi="Symbol"/>
                          <w:sz w:val="35"/>
                        </w:rPr>
                      </w:pPr>
                      <w:r>
                        <w:rPr>
                          <w:rFonts w:ascii="Symbol" w:hAnsi="Symbol"/>
                          <w:spacing w:val="-10"/>
                          <w:sz w:val="35"/>
                        </w:rPr>
                        <w:t></w:t>
                      </w:r>
                    </w:p>
                  </w:txbxContent>
                </v:textbox>
                <w10:wrap type="none"/>
              </v:shape>
            </w:pict>
          </mc:Fallback>
        </mc:AlternateContent>
      </w:r>
      <w:r>
        <w:rPr>
          <w:rFonts w:ascii="Times New Roman" w:hAnsi="Times New Roman"/>
          <w:i/>
          <w:position w:val="6"/>
          <w:sz w:val="24"/>
        </w:rPr>
        <w:t>PIB</w:t>
      </w:r>
      <w:r>
        <w:rPr>
          <w:rFonts w:ascii="Times New Roman" w:hAnsi="Times New Roman"/>
          <w:i/>
          <w:sz w:val="14"/>
        </w:rPr>
        <w:t>i</w:t>
      </w:r>
      <w:r>
        <w:rPr>
          <w:rFonts w:ascii="Times New Roman" w:hAnsi="Times New Roman"/>
          <w:sz w:val="14"/>
        </w:rPr>
        <w:t>,</w:t>
      </w:r>
      <w:r>
        <w:rPr>
          <w:rFonts w:ascii="Times New Roman" w:hAnsi="Times New Roman"/>
          <w:i/>
          <w:sz w:val="14"/>
        </w:rPr>
        <w:t>t</w:t>
      </w:r>
      <w:r>
        <w:rPr>
          <w:rFonts w:ascii="Times New Roman" w:hAnsi="Times New Roman"/>
          <w:i/>
          <w:spacing w:val="-23"/>
          <w:sz w:val="14"/>
        </w:rPr>
        <w:t> </w:t>
      </w:r>
      <w:r>
        <w:rPr>
          <w:rFonts w:ascii="Symbol" w:hAnsi="Symbol"/>
          <w:sz w:val="14"/>
        </w:rPr>
        <w:t></w:t>
      </w:r>
      <w:r>
        <w:rPr>
          <w:rFonts w:ascii="Times New Roman" w:hAnsi="Times New Roman"/>
          <w:sz w:val="14"/>
        </w:rPr>
        <w:t>1</w:t>
      </w:r>
      <w:r>
        <w:rPr>
          <w:rFonts w:ascii="Times New Roman" w:hAnsi="Times New Roman"/>
          <w:spacing w:val="32"/>
          <w:sz w:val="14"/>
        </w:rPr>
        <w:t> </w:t>
      </w:r>
      <w:r>
        <w:rPr>
          <w:rFonts w:ascii="Times New Roman" w:hAnsi="Times New Roman"/>
          <w:i/>
          <w:spacing w:val="-10"/>
          <w:position w:val="-10"/>
          <w:sz w:val="24"/>
        </w:rPr>
        <w:t>n</w:t>
      </w:r>
    </w:p>
    <w:p>
      <w:pPr>
        <w:tabs>
          <w:tab w:pos="1428" w:val="left" w:leader="none"/>
        </w:tabs>
        <w:spacing w:line="98" w:lineRule="exact" w:before="0"/>
        <w:ind w:left="581" w:right="0" w:firstLine="0"/>
        <w:jc w:val="left"/>
        <w:rPr>
          <w:rFonts w:ascii="Times New Roman"/>
          <w:i/>
          <w:sz w:val="24"/>
        </w:rPr>
      </w:pPr>
      <w:r>
        <w:rPr>
          <w:rFonts w:ascii="Times New Roman"/>
          <w:i/>
          <w:spacing w:val="-5"/>
          <w:sz w:val="24"/>
        </w:rPr>
        <w:t>PIB</w:t>
      </w:r>
      <w:r>
        <w:rPr>
          <w:rFonts w:ascii="Times New Roman"/>
          <w:i/>
          <w:sz w:val="24"/>
        </w:rPr>
        <w:tab/>
      </w:r>
      <w:r>
        <w:rPr>
          <w:rFonts w:ascii="Times New Roman"/>
          <w:i/>
          <w:spacing w:val="-10"/>
          <w:sz w:val="24"/>
          <w:vertAlign w:val="superscript"/>
        </w:rPr>
        <w:t>i</w:t>
      </w:r>
    </w:p>
    <w:p>
      <w:pPr>
        <w:spacing w:after="0" w:line="98" w:lineRule="exact"/>
        <w:jc w:val="left"/>
        <w:rPr>
          <w:rFonts w:ascii="Times New Roman"/>
          <w:i/>
          <w:sz w:val="24"/>
        </w:rPr>
        <w:sectPr>
          <w:type w:val="continuous"/>
          <w:pgSz w:w="12250" w:h="15850"/>
          <w:pgMar w:header="724" w:footer="712" w:top="1880" w:bottom="900" w:left="1417" w:right="1275"/>
          <w:cols w:num="2" w:equalWidth="0">
            <w:col w:w="4078" w:space="40"/>
            <w:col w:w="5440"/>
          </w:cols>
        </w:sectPr>
      </w:pPr>
    </w:p>
    <w:p>
      <w:pPr>
        <w:pStyle w:val="BodyText"/>
        <w:rPr>
          <w:rFonts w:ascii="Times New Roman"/>
          <w:i/>
          <w:sz w:val="13"/>
        </w:rPr>
      </w:pPr>
    </w:p>
    <w:p>
      <w:pPr>
        <w:pStyle w:val="BodyText"/>
        <w:rPr>
          <w:rFonts w:ascii="Times New Roman"/>
          <w:i/>
          <w:sz w:val="13"/>
        </w:rPr>
      </w:pPr>
    </w:p>
    <w:p>
      <w:pPr>
        <w:pStyle w:val="BodyText"/>
        <w:rPr>
          <w:rFonts w:ascii="Times New Roman"/>
          <w:i/>
          <w:sz w:val="13"/>
        </w:rPr>
      </w:pPr>
    </w:p>
    <w:p>
      <w:pPr>
        <w:pStyle w:val="BodyText"/>
        <w:spacing w:before="7"/>
        <w:rPr>
          <w:rFonts w:ascii="Times New Roman"/>
          <w:i/>
          <w:sz w:val="13"/>
        </w:rPr>
      </w:pPr>
    </w:p>
    <w:p>
      <w:pPr>
        <w:spacing w:line="43" w:lineRule="exact" w:before="0"/>
        <w:ind w:left="0" w:right="0" w:firstLine="0"/>
        <w:jc w:val="right"/>
        <w:rPr>
          <w:rFonts w:ascii="Symbol" w:hAnsi="Symbol"/>
          <w:sz w:val="23"/>
        </w:rPr>
      </w:pPr>
      <w:r>
        <w:rPr>
          <w:rFonts w:ascii="Times New Roman" w:hAnsi="Times New Roman"/>
          <w:i/>
          <w:w w:val="105"/>
          <w:sz w:val="23"/>
        </w:rPr>
        <w:t>C</w:t>
      </w:r>
      <w:r>
        <w:rPr>
          <w:rFonts w:ascii="Times New Roman" w:hAnsi="Times New Roman"/>
          <w:w w:val="105"/>
          <w:sz w:val="23"/>
        </w:rPr>
        <w:t>2</w:t>
      </w:r>
      <w:r>
        <w:rPr>
          <w:rFonts w:ascii="Times New Roman" w:hAnsi="Times New Roman"/>
          <w:i/>
          <w:w w:val="105"/>
          <w:position w:val="-5"/>
          <w:sz w:val="13"/>
        </w:rPr>
        <w:t>i</w:t>
      </w:r>
      <w:r>
        <w:rPr>
          <w:rFonts w:ascii="Times New Roman" w:hAnsi="Times New Roman"/>
          <w:w w:val="105"/>
          <w:position w:val="-5"/>
          <w:sz w:val="13"/>
        </w:rPr>
        <w:t>,</w:t>
      </w:r>
      <w:r>
        <w:rPr>
          <w:rFonts w:ascii="Times New Roman" w:hAnsi="Times New Roman"/>
          <w:i/>
          <w:w w:val="105"/>
          <w:position w:val="-5"/>
          <w:sz w:val="13"/>
        </w:rPr>
        <w:t>t</w:t>
      </w:r>
      <w:r>
        <w:rPr>
          <w:rFonts w:ascii="Times New Roman" w:hAnsi="Times New Roman"/>
          <w:i/>
          <w:spacing w:val="31"/>
          <w:w w:val="105"/>
          <w:position w:val="-5"/>
          <w:sz w:val="13"/>
        </w:rPr>
        <w:t>  </w:t>
      </w:r>
      <w:r>
        <w:rPr>
          <w:rFonts w:ascii="Symbol" w:hAnsi="Symbol"/>
          <w:spacing w:val="-10"/>
          <w:w w:val="105"/>
          <w:sz w:val="23"/>
        </w:rPr>
        <w:t></w:t>
      </w:r>
    </w:p>
    <w:p>
      <w:pPr>
        <w:spacing w:line="240" w:lineRule="auto" w:before="0"/>
        <w:rPr>
          <w:rFonts w:ascii="Symbol" w:hAnsi="Symbol"/>
          <w:sz w:val="13"/>
        </w:rPr>
      </w:pPr>
      <w:r>
        <w:rPr/>
        <w:br w:type="column"/>
      </w:r>
      <w:r>
        <w:rPr>
          <w:rFonts w:ascii="Symbol" w:hAnsi="Symbol"/>
          <w:sz w:val="13"/>
        </w:rPr>
      </w:r>
    </w:p>
    <w:p>
      <w:pPr>
        <w:pStyle w:val="BodyText"/>
        <w:spacing w:before="117"/>
        <w:rPr>
          <w:rFonts w:ascii="Symbol" w:hAnsi="Symbol"/>
          <w:sz w:val="13"/>
        </w:rPr>
      </w:pPr>
    </w:p>
    <w:p>
      <w:pPr>
        <w:spacing w:line="213" w:lineRule="exact" w:before="0"/>
        <w:ind w:left="184" w:right="0" w:firstLine="0"/>
        <w:jc w:val="left"/>
        <w:rPr>
          <w:rFonts w:ascii="Times New Roman" w:hAnsi="Times New Roman"/>
          <w:i/>
          <w:position w:val="-5"/>
          <w:sz w:val="13"/>
        </w:rPr>
      </w:pPr>
      <w:r>
        <w:rPr>
          <w:rFonts w:ascii="Symbol" w:hAnsi="Symbol"/>
          <w:w w:val="105"/>
          <w:sz w:val="23"/>
        </w:rPr>
        <w:t></w:t>
      </w:r>
      <w:r>
        <w:rPr>
          <w:rFonts w:ascii="Times New Roman" w:hAnsi="Times New Roman"/>
          <w:i/>
          <w:w w:val="105"/>
          <w:sz w:val="23"/>
        </w:rPr>
        <w:t>IE</w:t>
      </w:r>
      <w:r>
        <w:rPr>
          <w:rFonts w:ascii="Times New Roman" w:hAnsi="Times New Roman"/>
          <w:i/>
          <w:w w:val="105"/>
          <w:position w:val="-5"/>
          <w:sz w:val="13"/>
        </w:rPr>
        <w:t>i</w:t>
      </w:r>
      <w:r>
        <w:rPr>
          <w:rFonts w:ascii="Times New Roman" w:hAnsi="Times New Roman"/>
          <w:w w:val="105"/>
          <w:position w:val="-5"/>
          <w:sz w:val="13"/>
        </w:rPr>
        <w:t>,</w:t>
      </w:r>
      <w:r>
        <w:rPr>
          <w:rFonts w:ascii="Times New Roman" w:hAnsi="Times New Roman"/>
          <w:i/>
          <w:w w:val="105"/>
          <w:position w:val="-5"/>
          <w:sz w:val="13"/>
        </w:rPr>
        <w:t>t</w:t>
      </w:r>
      <w:r>
        <w:rPr>
          <w:rFonts w:ascii="Times New Roman" w:hAnsi="Times New Roman"/>
          <w:i/>
          <w:spacing w:val="-5"/>
          <w:w w:val="105"/>
          <w:position w:val="-5"/>
          <w:sz w:val="13"/>
        </w:rPr>
        <w:t> </w:t>
      </w:r>
      <w:r>
        <w:rPr>
          <w:rFonts w:ascii="Times New Roman" w:hAnsi="Times New Roman"/>
          <w:i/>
          <w:spacing w:val="-9"/>
          <w:w w:val="110"/>
          <w:sz w:val="23"/>
        </w:rPr>
        <w:t>n</w:t>
      </w:r>
      <w:r>
        <w:rPr>
          <w:rFonts w:ascii="Times New Roman" w:hAnsi="Times New Roman"/>
          <w:i/>
          <w:spacing w:val="-9"/>
          <w:w w:val="110"/>
          <w:position w:val="-5"/>
          <w:sz w:val="13"/>
        </w:rPr>
        <w:t>i</w:t>
      </w:r>
    </w:p>
    <w:p>
      <w:pPr>
        <w:tabs>
          <w:tab w:pos="885" w:val="left" w:leader="none"/>
        </w:tabs>
        <w:spacing w:line="173" w:lineRule="exact" w:before="0"/>
        <w:ind w:left="308" w:right="0" w:firstLine="0"/>
        <w:jc w:val="center"/>
        <w:rPr>
          <w:rFonts w:ascii="Times New Roman" w:hAnsi="Times New Roman"/>
          <w:sz w:val="14"/>
        </w:rPr>
      </w:pPr>
      <w:r>
        <w:rPr/>
        <w:br w:type="column"/>
      </w:r>
      <w:r>
        <w:rPr>
          <w:rFonts w:ascii="Times New Roman" w:hAnsi="Times New Roman"/>
          <w:i/>
          <w:spacing w:val="-10"/>
          <w:position w:val="2"/>
          <w:sz w:val="14"/>
        </w:rPr>
        <w:t>i</w:t>
      </w:r>
      <w:r>
        <w:rPr>
          <w:rFonts w:ascii="Times New Roman" w:hAnsi="Times New Roman"/>
          <w:i/>
          <w:position w:val="2"/>
          <w:sz w:val="14"/>
        </w:rPr>
        <w:tab/>
      </w:r>
      <w:r>
        <w:rPr>
          <w:rFonts w:ascii="Times New Roman" w:hAnsi="Times New Roman"/>
          <w:i/>
          <w:sz w:val="14"/>
        </w:rPr>
        <w:t>i</w:t>
      </w:r>
      <w:r>
        <w:rPr>
          <w:rFonts w:ascii="Times New Roman" w:hAnsi="Times New Roman"/>
          <w:sz w:val="14"/>
        </w:rPr>
        <w:t>,</w:t>
      </w:r>
      <w:r>
        <w:rPr>
          <w:rFonts w:ascii="Times New Roman" w:hAnsi="Times New Roman"/>
          <w:i/>
          <w:sz w:val="14"/>
        </w:rPr>
        <w:t>t</w:t>
      </w:r>
      <w:r>
        <w:rPr>
          <w:rFonts w:ascii="Times New Roman" w:hAnsi="Times New Roman"/>
          <w:i/>
          <w:spacing w:val="-17"/>
          <w:sz w:val="14"/>
        </w:rPr>
        <w:t> </w:t>
      </w:r>
      <w:r>
        <w:rPr>
          <w:rFonts w:ascii="Symbol" w:hAnsi="Symbol"/>
          <w:spacing w:val="-5"/>
          <w:sz w:val="14"/>
        </w:rPr>
        <w:t></w:t>
      </w:r>
      <w:r>
        <w:rPr>
          <w:rFonts w:ascii="Times New Roman" w:hAnsi="Times New Roman"/>
          <w:spacing w:val="-5"/>
          <w:sz w:val="14"/>
        </w:rPr>
        <w:t>2</w:t>
      </w:r>
    </w:p>
    <w:p>
      <w:pPr>
        <w:pStyle w:val="BodyText"/>
        <w:rPr>
          <w:rFonts w:ascii="Times New Roman"/>
          <w:sz w:val="14"/>
        </w:rPr>
      </w:pPr>
    </w:p>
    <w:p>
      <w:pPr>
        <w:pStyle w:val="BodyText"/>
        <w:spacing w:before="113"/>
        <w:rPr>
          <w:rFonts w:ascii="Times New Roman"/>
          <w:sz w:val="14"/>
        </w:rPr>
      </w:pPr>
    </w:p>
    <w:p>
      <w:pPr>
        <w:spacing w:line="75" w:lineRule="exact" w:before="0"/>
        <w:ind w:left="336" w:right="0" w:firstLine="0"/>
        <w:jc w:val="center"/>
        <w:rPr>
          <w:rFonts w:ascii="Symbol" w:hAnsi="Symbol"/>
          <w:sz w:val="24"/>
        </w:rPr>
      </w:pPr>
      <w:r>
        <w:rPr>
          <w:rFonts w:ascii="Symbol" w:hAnsi="Symbol"/>
          <w:spacing w:val="-10"/>
          <w:sz w:val="24"/>
        </w:rPr>
        <w:t></w:t>
      </w:r>
    </w:p>
    <w:p>
      <w:pPr>
        <w:spacing w:line="240" w:lineRule="auto" w:before="0"/>
        <w:rPr>
          <w:rFonts w:ascii="Symbol" w:hAnsi="Symbol"/>
          <w:sz w:val="14"/>
        </w:rPr>
      </w:pPr>
      <w:r>
        <w:rPr/>
        <w:br w:type="column"/>
      </w:r>
      <w:r>
        <w:rPr>
          <w:rFonts w:ascii="Symbol" w:hAnsi="Symbol"/>
          <w:sz w:val="14"/>
        </w:rPr>
      </w:r>
    </w:p>
    <w:p>
      <w:pPr>
        <w:pStyle w:val="BodyText"/>
        <w:rPr>
          <w:rFonts w:ascii="Symbol" w:hAnsi="Symbol"/>
          <w:sz w:val="14"/>
        </w:rPr>
      </w:pPr>
    </w:p>
    <w:p>
      <w:pPr>
        <w:pStyle w:val="BodyText"/>
        <w:spacing w:before="42"/>
        <w:rPr>
          <w:rFonts w:ascii="Symbol" w:hAnsi="Symbol"/>
          <w:sz w:val="14"/>
        </w:rPr>
      </w:pPr>
    </w:p>
    <w:p>
      <w:pPr>
        <w:tabs>
          <w:tab w:pos="803" w:val="left" w:leader="none"/>
        </w:tabs>
        <w:spacing w:line="92" w:lineRule="exact" w:before="0"/>
        <w:ind w:left="253" w:right="0" w:firstLine="0"/>
        <w:jc w:val="left"/>
        <w:rPr>
          <w:rFonts w:ascii="Times New Roman" w:hAnsi="Times New Roman"/>
          <w:i/>
          <w:sz w:val="14"/>
        </w:rPr>
      </w:pPr>
      <w:r>
        <w:rPr>
          <w:rFonts w:ascii="Times New Roman" w:hAnsi="Times New Roman"/>
          <w:position w:val="3"/>
          <w:sz w:val="24"/>
          <w:u w:val="single"/>
        </w:rPr>
        <w:t>1</w:t>
      </w:r>
      <w:r>
        <w:rPr>
          <w:rFonts w:ascii="Times New Roman" w:hAnsi="Times New Roman"/>
          <w:spacing w:val="79"/>
          <w:position w:val="3"/>
          <w:sz w:val="24"/>
        </w:rPr>
        <w:t> </w:t>
      </w:r>
      <w:r>
        <w:rPr>
          <w:rFonts w:ascii="Times New Roman" w:hAnsi="Times New Roman"/>
          <w:spacing w:val="-10"/>
          <w:position w:val="13"/>
          <w:sz w:val="14"/>
        </w:rPr>
        <w:t>3</w:t>
      </w:r>
      <w:r>
        <w:rPr>
          <w:rFonts w:ascii="Times New Roman" w:hAnsi="Times New Roman"/>
          <w:position w:val="13"/>
          <w:sz w:val="14"/>
        </w:rPr>
        <w:tab/>
      </w:r>
      <w:r>
        <w:rPr>
          <w:rFonts w:ascii="Times New Roman" w:hAnsi="Times New Roman"/>
          <w:i/>
          <w:position w:val="6"/>
          <w:sz w:val="24"/>
        </w:rPr>
        <w:t>IE</w:t>
      </w:r>
      <w:r>
        <w:rPr>
          <w:rFonts w:ascii="Times New Roman" w:hAnsi="Times New Roman"/>
          <w:i/>
          <w:sz w:val="14"/>
        </w:rPr>
        <w:t>i</w:t>
      </w:r>
      <w:r>
        <w:rPr>
          <w:rFonts w:ascii="Times New Roman" w:hAnsi="Times New Roman"/>
          <w:sz w:val="14"/>
        </w:rPr>
        <w:t>,</w:t>
      </w:r>
      <w:r>
        <w:rPr>
          <w:rFonts w:ascii="Times New Roman" w:hAnsi="Times New Roman"/>
          <w:i/>
          <w:sz w:val="14"/>
        </w:rPr>
        <w:t>t</w:t>
      </w:r>
      <w:r>
        <w:rPr>
          <w:rFonts w:ascii="Symbol" w:hAnsi="Symbol"/>
          <w:sz w:val="14"/>
        </w:rPr>
        <w:t></w:t>
      </w:r>
      <w:r>
        <w:rPr>
          <w:rFonts w:ascii="Times New Roman" w:hAnsi="Times New Roman"/>
          <w:spacing w:val="10"/>
          <w:sz w:val="14"/>
        </w:rPr>
        <w:t> </w:t>
      </w:r>
      <w:r>
        <w:rPr>
          <w:rFonts w:ascii="Times New Roman" w:hAnsi="Times New Roman"/>
          <w:i/>
          <w:spacing w:val="-10"/>
          <w:sz w:val="14"/>
        </w:rPr>
        <w:t>j</w:t>
      </w:r>
    </w:p>
    <w:p>
      <w:pPr>
        <w:spacing w:after="0" w:line="92" w:lineRule="exact"/>
        <w:jc w:val="left"/>
        <w:rPr>
          <w:rFonts w:ascii="Times New Roman" w:hAnsi="Times New Roman"/>
          <w:i/>
          <w:sz w:val="14"/>
        </w:rPr>
        <w:sectPr>
          <w:type w:val="continuous"/>
          <w:pgSz w:w="12250" w:h="15850"/>
          <w:pgMar w:header="724" w:footer="712" w:top="1880" w:bottom="900" w:left="1417" w:right="1275"/>
          <w:cols w:num="4" w:equalWidth="0">
            <w:col w:w="3237" w:space="40"/>
            <w:col w:w="861" w:space="39"/>
            <w:col w:w="1172" w:space="39"/>
            <w:col w:w="4170"/>
          </w:cols>
        </w:sectPr>
      </w:pPr>
    </w:p>
    <w:p>
      <w:pPr>
        <w:spacing w:line="413" w:lineRule="exact" w:before="43"/>
        <w:ind w:left="0" w:right="0" w:firstLine="0"/>
        <w:jc w:val="right"/>
        <w:rPr>
          <w:rFonts w:ascii="Times New Roman" w:hAnsi="Times New Roman"/>
          <w:i/>
          <w:sz w:val="13"/>
        </w:rPr>
      </w:pPr>
      <w:r>
        <w:rPr>
          <w:rFonts w:ascii="Times New Roman" w:hAnsi="Times New Roman"/>
          <w:i/>
          <w:sz w:val="13"/>
        </w:rPr>
        <mc:AlternateContent>
          <mc:Choice Requires="wps">
            <w:drawing>
              <wp:anchor distT="0" distB="0" distL="0" distR="0" allowOverlap="1" layoutInCell="1" locked="0" behindDoc="1" simplePos="0" relativeHeight="486318592">
                <wp:simplePos x="0" y="0"/>
                <wp:positionH relativeFrom="page">
                  <wp:posOffset>2999261</wp:posOffset>
                </wp:positionH>
                <wp:positionV relativeFrom="paragraph">
                  <wp:posOffset>64888</wp:posOffset>
                </wp:positionV>
                <wp:extent cx="650875"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50875" cy="1270"/>
                        </a:xfrm>
                        <a:custGeom>
                          <a:avLst/>
                          <a:gdLst/>
                          <a:ahLst/>
                          <a:cxnLst/>
                          <a:rect l="l" t="t" r="r" b="b"/>
                          <a:pathLst>
                            <a:path w="650875" h="0">
                              <a:moveTo>
                                <a:pt x="0" y="0"/>
                              </a:moveTo>
                              <a:lnTo>
                                <a:pt x="650656" y="0"/>
                              </a:lnTo>
                            </a:path>
                          </a:pathLst>
                        </a:custGeom>
                        <a:ln w="171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997888" from="236.162323pt,5.109336pt" to="287.395108pt,5.109366pt" stroked="true" strokeweight=".135306pt" strokecolor="#000000">
                <v:stroke dashstyle="solid"/>
                <w10:wrap type="none"/>
              </v:line>
            </w:pict>
          </mc:Fallback>
        </mc:AlternateContent>
      </w:r>
      <w:r>
        <w:rPr>
          <w:rFonts w:ascii="Symbol" w:hAnsi="Symbol"/>
          <w:spacing w:val="4"/>
          <w:w w:val="105"/>
          <w:sz w:val="35"/>
        </w:rPr>
        <w:t></w:t>
      </w:r>
      <w:r>
        <w:rPr>
          <w:rFonts w:ascii="Symbol" w:hAnsi="Symbol"/>
          <w:spacing w:val="4"/>
          <w:w w:val="105"/>
          <w:position w:val="6"/>
          <w:sz w:val="23"/>
        </w:rPr>
        <w:t></w:t>
      </w:r>
      <w:r>
        <w:rPr>
          <w:rFonts w:ascii="Times New Roman" w:hAnsi="Times New Roman"/>
          <w:i/>
          <w:spacing w:val="4"/>
          <w:w w:val="105"/>
          <w:position w:val="6"/>
          <w:sz w:val="23"/>
        </w:rPr>
        <w:t>IE</w:t>
      </w:r>
      <w:r>
        <w:rPr>
          <w:rFonts w:ascii="Times New Roman" w:hAnsi="Times New Roman"/>
          <w:i/>
          <w:spacing w:val="4"/>
          <w:w w:val="105"/>
          <w:sz w:val="13"/>
        </w:rPr>
        <w:t>i</w:t>
      </w:r>
      <w:r>
        <w:rPr>
          <w:rFonts w:ascii="Times New Roman" w:hAnsi="Times New Roman"/>
          <w:spacing w:val="4"/>
          <w:w w:val="105"/>
          <w:sz w:val="13"/>
        </w:rPr>
        <w:t>,</w:t>
      </w:r>
      <w:r>
        <w:rPr>
          <w:rFonts w:ascii="Times New Roman" w:hAnsi="Times New Roman"/>
          <w:i/>
          <w:spacing w:val="4"/>
          <w:w w:val="105"/>
          <w:sz w:val="13"/>
        </w:rPr>
        <w:t>t</w:t>
      </w:r>
      <w:r>
        <w:rPr>
          <w:rFonts w:ascii="Times New Roman" w:hAnsi="Times New Roman"/>
          <w:i/>
          <w:spacing w:val="-4"/>
          <w:w w:val="105"/>
          <w:sz w:val="13"/>
        </w:rPr>
        <w:t> </w:t>
      </w:r>
      <w:r>
        <w:rPr>
          <w:rFonts w:ascii="Times New Roman" w:hAnsi="Times New Roman"/>
          <w:i/>
          <w:spacing w:val="-5"/>
          <w:w w:val="105"/>
          <w:position w:val="6"/>
          <w:sz w:val="23"/>
        </w:rPr>
        <w:t>n</w:t>
      </w:r>
      <w:r>
        <w:rPr>
          <w:rFonts w:ascii="Times New Roman" w:hAnsi="Times New Roman"/>
          <w:i/>
          <w:spacing w:val="-5"/>
          <w:w w:val="105"/>
          <w:sz w:val="13"/>
        </w:rPr>
        <w:t>i</w:t>
      </w:r>
    </w:p>
    <w:p>
      <w:pPr>
        <w:spacing w:line="133" w:lineRule="exact" w:before="0"/>
        <w:ind w:left="0" w:right="821" w:firstLine="0"/>
        <w:jc w:val="right"/>
        <w:rPr>
          <w:rFonts w:ascii="Times New Roman"/>
          <w:i/>
          <w:sz w:val="13"/>
        </w:rPr>
      </w:pPr>
      <w:r>
        <w:rPr>
          <w:rFonts w:ascii="Times New Roman"/>
          <w:i/>
          <w:spacing w:val="-10"/>
          <w:w w:val="110"/>
          <w:sz w:val="13"/>
        </w:rPr>
        <w:t>i</w:t>
      </w:r>
    </w:p>
    <w:p>
      <w:pPr>
        <w:spacing w:line="240" w:lineRule="auto" w:before="186"/>
        <w:rPr>
          <w:rFonts w:ascii="Times New Roman"/>
          <w:i/>
          <w:sz w:val="20"/>
        </w:rPr>
      </w:pPr>
      <w:r>
        <w:rPr/>
        <w:br w:type="column"/>
      </w:r>
      <w:r>
        <w:rPr>
          <w:rFonts w:ascii="Times New Roman"/>
          <w:i/>
          <w:sz w:val="20"/>
        </w:rPr>
      </w:r>
    </w:p>
    <w:p>
      <w:pPr>
        <w:pStyle w:val="BodyText"/>
        <w:spacing w:before="1"/>
        <w:ind w:left="62"/>
      </w:pPr>
      <w:r>
        <w:rPr>
          <w:spacing w:val="-5"/>
        </w:rPr>
        <w:t>con</w:t>
      </w:r>
    </w:p>
    <w:p>
      <w:pPr>
        <w:tabs>
          <w:tab w:pos="1061" w:val="left" w:leader="none"/>
        </w:tabs>
        <w:spacing w:line="396" w:lineRule="exact" w:before="0"/>
        <w:ind w:left="253" w:right="0" w:firstLine="0"/>
        <w:jc w:val="left"/>
        <w:rPr>
          <w:rFonts w:ascii="Symbol" w:hAnsi="Symbol"/>
          <w:position w:val="1"/>
          <w:sz w:val="37"/>
        </w:rPr>
      </w:pPr>
      <w:r>
        <w:rPr/>
        <w:br w:type="column"/>
      </w:r>
      <w:r>
        <w:rPr>
          <w:rFonts w:ascii="Times New Roman" w:hAnsi="Times New Roman"/>
          <w:i/>
          <w:position w:val="6"/>
          <w:sz w:val="24"/>
        </w:rPr>
        <w:t>IE</w:t>
      </w:r>
      <w:r>
        <w:rPr>
          <w:rFonts w:ascii="Times New Roman" w:hAnsi="Times New Roman"/>
          <w:i/>
          <w:sz w:val="14"/>
        </w:rPr>
        <w:t>i</w:t>
      </w:r>
      <w:r>
        <w:rPr>
          <w:rFonts w:ascii="Times New Roman" w:hAnsi="Times New Roman"/>
          <w:sz w:val="14"/>
        </w:rPr>
        <w:t>,</w:t>
      </w:r>
      <w:r>
        <w:rPr>
          <w:rFonts w:ascii="Times New Roman" w:hAnsi="Times New Roman"/>
          <w:i/>
          <w:sz w:val="14"/>
        </w:rPr>
        <w:t>t</w:t>
      </w:r>
      <w:r>
        <w:rPr>
          <w:rFonts w:ascii="Times New Roman" w:hAnsi="Times New Roman"/>
          <w:i/>
          <w:spacing w:val="61"/>
          <w:sz w:val="14"/>
        </w:rPr>
        <w:t> </w:t>
      </w:r>
      <w:r>
        <w:rPr>
          <w:rFonts w:ascii="Symbol" w:hAnsi="Symbol"/>
          <w:spacing w:val="-10"/>
          <w:position w:val="6"/>
          <w:sz w:val="24"/>
        </w:rPr>
        <w:t></w:t>
      </w:r>
      <w:r>
        <w:rPr>
          <w:rFonts w:ascii="Times New Roman" w:hAnsi="Times New Roman"/>
          <w:position w:val="6"/>
          <w:sz w:val="24"/>
        </w:rPr>
        <w:tab/>
      </w:r>
      <w:r>
        <w:rPr>
          <w:rFonts w:ascii="Symbol" w:hAnsi="Symbol"/>
          <w:spacing w:val="-10"/>
          <w:position w:val="1"/>
          <w:sz w:val="37"/>
        </w:rPr>
        <w:t></w:t>
      </w:r>
    </w:p>
    <w:p>
      <w:pPr>
        <w:spacing w:line="152" w:lineRule="exact" w:before="0"/>
        <w:ind w:left="0" w:right="19" w:firstLine="0"/>
        <w:jc w:val="right"/>
        <w:rPr>
          <w:rFonts w:ascii="Times New Roman" w:hAnsi="Times New Roman"/>
          <w:sz w:val="14"/>
        </w:rPr>
      </w:pPr>
      <w:r>
        <w:rPr>
          <w:rFonts w:ascii="Times New Roman" w:hAnsi="Times New Roman"/>
          <w:sz w:val="14"/>
        </w:rPr>
        <mc:AlternateContent>
          <mc:Choice Requires="wps">
            <w:drawing>
              <wp:anchor distT="0" distB="0" distL="0" distR="0" allowOverlap="1" layoutInCell="1" locked="0" behindDoc="1" simplePos="0" relativeHeight="486320128">
                <wp:simplePos x="0" y="0"/>
                <wp:positionH relativeFrom="page">
                  <wp:posOffset>4485016</wp:posOffset>
                </wp:positionH>
                <wp:positionV relativeFrom="paragraph">
                  <wp:posOffset>-90392</wp:posOffset>
                </wp:positionV>
                <wp:extent cx="438784" cy="17399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438784" cy="173990"/>
                        </a:xfrm>
                        <a:prstGeom prst="rect">
                          <a:avLst/>
                        </a:prstGeom>
                      </wps:spPr>
                      <wps:txbx>
                        <w:txbxContent>
                          <w:p>
                            <w:pPr>
                              <w:tabs>
                                <w:tab w:pos="481" w:val="left" w:leader="none"/>
                              </w:tabs>
                              <w:spacing w:line="272" w:lineRule="exact" w:before="0"/>
                              <w:ind w:left="0" w:right="0" w:firstLine="0"/>
                              <w:jc w:val="left"/>
                              <w:rPr>
                                <w:rFonts w:ascii="Times New Roman"/>
                                <w:i/>
                                <w:sz w:val="24"/>
                              </w:rPr>
                            </w:pPr>
                            <w:r>
                              <w:rPr>
                                <w:rFonts w:ascii="Times New Roman"/>
                                <w:spacing w:val="-10"/>
                                <w:sz w:val="24"/>
                              </w:rPr>
                              <w:t>3</w:t>
                            </w:r>
                            <w:r>
                              <w:rPr>
                                <w:rFonts w:ascii="Times New Roman"/>
                                <w:sz w:val="24"/>
                              </w:rPr>
                              <w:tab/>
                            </w:r>
                            <w:r>
                              <w:rPr>
                                <w:rFonts w:ascii="Times New Roman"/>
                                <w:i/>
                                <w:spacing w:val="-15"/>
                                <w:sz w:val="24"/>
                              </w:rPr>
                              <w:t>I</w:t>
                            </w:r>
                            <w:r>
                              <w:rPr>
                                <w:rFonts w:ascii="Times New Roman"/>
                                <w:i/>
                                <w:spacing w:val="-15"/>
                                <w:sz w:val="24"/>
                              </w:rPr>
                              <w:t>E</w:t>
                            </w:r>
                          </w:p>
                        </w:txbxContent>
                      </wps:txbx>
                      <wps:bodyPr wrap="square" lIns="0" tIns="0" rIns="0" bIns="0" rtlCol="0">
                        <a:noAutofit/>
                      </wps:bodyPr>
                    </wps:wsp>
                  </a:graphicData>
                </a:graphic>
              </wp:anchor>
            </w:drawing>
          </mc:Choice>
          <mc:Fallback>
            <w:pict>
              <v:shape style="position:absolute;margin-left:353.15094pt;margin-top:-7.117486pt;width:34.550pt;height:13.7pt;mso-position-horizontal-relative:page;mso-position-vertical-relative:paragraph;z-index:-16996352" type="#_x0000_t202" id="docshape10" filled="false" stroked="false">
                <v:textbox inset="0,0,0,0">
                  <w:txbxContent>
                    <w:p>
                      <w:pPr>
                        <w:tabs>
                          <w:tab w:pos="481" w:val="left" w:leader="none"/>
                        </w:tabs>
                        <w:spacing w:line="272" w:lineRule="exact" w:before="0"/>
                        <w:ind w:left="0" w:right="0" w:firstLine="0"/>
                        <w:jc w:val="left"/>
                        <w:rPr>
                          <w:rFonts w:ascii="Times New Roman"/>
                          <w:i/>
                          <w:sz w:val="24"/>
                        </w:rPr>
                      </w:pPr>
                      <w:r>
                        <w:rPr>
                          <w:rFonts w:ascii="Times New Roman"/>
                          <w:spacing w:val="-10"/>
                          <w:sz w:val="24"/>
                        </w:rPr>
                        <w:t>3</w:t>
                      </w:r>
                      <w:r>
                        <w:rPr>
                          <w:rFonts w:ascii="Times New Roman"/>
                          <w:sz w:val="24"/>
                        </w:rPr>
                        <w:tab/>
                      </w:r>
                      <w:r>
                        <w:rPr>
                          <w:rFonts w:ascii="Times New Roman"/>
                          <w:i/>
                          <w:spacing w:val="-15"/>
                          <w:sz w:val="24"/>
                        </w:rPr>
                        <w:t>I</w:t>
                      </w:r>
                      <w:r>
                        <w:rPr>
                          <w:rFonts w:ascii="Times New Roman"/>
                          <w:i/>
                          <w:spacing w:val="-15"/>
                          <w:sz w:val="24"/>
                        </w:rPr>
                        <w:t>E</w:t>
                      </w:r>
                    </w:p>
                  </w:txbxContent>
                </v:textbox>
                <w10:wrap type="none"/>
              </v:shape>
            </w:pict>
          </mc:Fallback>
        </mc:AlternateContent>
      </w:r>
      <w:r>
        <w:rPr>
          <w:rFonts w:ascii="Times New Roman" w:hAnsi="Times New Roman"/>
          <w:i/>
          <w:spacing w:val="-5"/>
          <w:sz w:val="14"/>
        </w:rPr>
        <w:t>j</w:t>
      </w:r>
      <w:r>
        <w:rPr>
          <w:rFonts w:ascii="Symbol" w:hAnsi="Symbol"/>
          <w:spacing w:val="-5"/>
          <w:sz w:val="14"/>
        </w:rPr>
        <w:t></w:t>
      </w:r>
      <w:r>
        <w:rPr>
          <w:rFonts w:ascii="Times New Roman" w:hAnsi="Times New Roman"/>
          <w:spacing w:val="-5"/>
          <w:sz w:val="14"/>
        </w:rPr>
        <w:t>1</w:t>
      </w:r>
    </w:p>
    <w:p>
      <w:pPr>
        <w:spacing w:line="240" w:lineRule="auto" w:before="8" w:after="1"/>
        <w:rPr>
          <w:rFonts w:ascii="Times New Roman"/>
          <w:sz w:val="19"/>
        </w:rPr>
      </w:pPr>
      <w:r>
        <w:rPr/>
        <w:br w:type="column"/>
      </w:r>
      <w:r>
        <w:rPr>
          <w:rFonts w:ascii="Times New Roman"/>
          <w:sz w:val="19"/>
        </w:rPr>
      </w:r>
    </w:p>
    <w:p>
      <w:pPr>
        <w:pStyle w:val="BodyText"/>
        <w:spacing w:line="20" w:lineRule="exact"/>
        <w:ind w:left="-2"/>
        <w:rPr>
          <w:rFonts w:ascii="Times New Roman"/>
          <w:sz w:val="2"/>
        </w:rPr>
      </w:pPr>
      <w:r>
        <w:rPr>
          <w:rFonts w:ascii="Times New Roman"/>
          <w:sz w:val="2"/>
        </w:rPr>
        <mc:AlternateContent>
          <mc:Choice Requires="wps">
            <w:drawing>
              <wp:inline distT="0" distB="0" distL="0" distR="0">
                <wp:extent cx="446405" cy="1905"/>
                <wp:effectExtent l="9525" t="0" r="0" b="7620"/>
                <wp:docPr id="16" name="Group 16"/>
                <wp:cNvGraphicFramePr>
                  <a:graphicFrameLocks/>
                </wp:cNvGraphicFramePr>
                <a:graphic>
                  <a:graphicData uri="http://schemas.microsoft.com/office/word/2010/wordprocessingGroup">
                    <wpg:wgp>
                      <wpg:cNvPr id="16" name="Group 16"/>
                      <wpg:cNvGrpSpPr/>
                      <wpg:grpSpPr>
                        <a:xfrm>
                          <a:off x="0" y="0"/>
                          <a:ext cx="446405" cy="1905"/>
                          <a:chExt cx="446405" cy="1905"/>
                        </a:xfrm>
                      </wpg:grpSpPr>
                      <wps:wsp>
                        <wps:cNvPr id="17" name="Graphic 17"/>
                        <wps:cNvSpPr/>
                        <wps:spPr>
                          <a:xfrm>
                            <a:off x="0" y="884"/>
                            <a:ext cx="446405" cy="1270"/>
                          </a:xfrm>
                          <a:custGeom>
                            <a:avLst/>
                            <a:gdLst/>
                            <a:ahLst/>
                            <a:cxnLst/>
                            <a:rect l="l" t="t" r="r" b="b"/>
                            <a:pathLst>
                              <a:path w="446405" h="0">
                                <a:moveTo>
                                  <a:pt x="0" y="0"/>
                                </a:moveTo>
                                <a:lnTo>
                                  <a:pt x="446118" y="0"/>
                                </a:lnTo>
                              </a:path>
                            </a:pathLst>
                          </a:custGeom>
                          <a:ln w="176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5.15pt;height:.15pt;mso-position-horizontal-relative:char;mso-position-vertical-relative:line" id="docshapegroup11" coordorigin="0,0" coordsize="703,3">
                <v:line style="position:absolute" from="0,1" to="703,1" stroked="true" strokeweight=".139319pt" strokecolor="#000000">
                  <v:stroke dashstyle="solid"/>
                </v:line>
              </v:group>
            </w:pict>
          </mc:Fallback>
        </mc:AlternateContent>
      </w:r>
      <w:r>
        <w:rPr>
          <w:rFonts w:ascii="Times New Roman"/>
          <w:sz w:val="2"/>
        </w:rPr>
      </w:r>
    </w:p>
    <w:p>
      <w:pPr>
        <w:spacing w:before="147"/>
        <w:ind w:left="240" w:right="0" w:firstLine="0"/>
        <w:jc w:val="left"/>
        <w:rPr>
          <w:rFonts w:ascii="Times New Roman" w:hAnsi="Times New Roman"/>
          <w:sz w:val="14"/>
        </w:rPr>
      </w:pPr>
      <w:r>
        <w:rPr>
          <w:rFonts w:ascii="Times New Roman" w:hAnsi="Times New Roman"/>
          <w:i/>
          <w:sz w:val="14"/>
        </w:rPr>
        <w:t>i</w:t>
      </w:r>
      <w:r>
        <w:rPr>
          <w:rFonts w:ascii="Times New Roman" w:hAnsi="Times New Roman"/>
          <w:sz w:val="14"/>
        </w:rPr>
        <w:t>,</w:t>
      </w:r>
      <w:r>
        <w:rPr>
          <w:rFonts w:ascii="Times New Roman" w:hAnsi="Times New Roman"/>
          <w:i/>
          <w:sz w:val="14"/>
        </w:rPr>
        <w:t>t</w:t>
      </w:r>
      <w:r>
        <w:rPr>
          <w:rFonts w:ascii="Symbol" w:hAnsi="Symbol"/>
          <w:sz w:val="14"/>
        </w:rPr>
        <w:t></w:t>
      </w:r>
      <w:r>
        <w:rPr>
          <w:rFonts w:ascii="Times New Roman" w:hAnsi="Times New Roman"/>
          <w:spacing w:val="13"/>
          <w:sz w:val="14"/>
        </w:rPr>
        <w:t> </w:t>
      </w:r>
      <w:r>
        <w:rPr>
          <w:rFonts w:ascii="Times New Roman" w:hAnsi="Times New Roman"/>
          <w:i/>
          <w:spacing w:val="-5"/>
          <w:sz w:val="14"/>
        </w:rPr>
        <w:t>j</w:t>
      </w:r>
      <w:r>
        <w:rPr>
          <w:rFonts w:ascii="Symbol" w:hAnsi="Symbol"/>
          <w:spacing w:val="-5"/>
          <w:sz w:val="14"/>
        </w:rPr>
        <w:t></w:t>
      </w:r>
      <w:r>
        <w:rPr>
          <w:rFonts w:ascii="Times New Roman" w:hAnsi="Times New Roman"/>
          <w:spacing w:val="-5"/>
          <w:sz w:val="14"/>
        </w:rPr>
        <w:t>1</w:t>
      </w:r>
    </w:p>
    <w:p>
      <w:pPr>
        <w:spacing w:after="0"/>
        <w:jc w:val="left"/>
        <w:rPr>
          <w:rFonts w:ascii="Times New Roman" w:hAnsi="Times New Roman"/>
          <w:sz w:val="14"/>
        </w:rPr>
        <w:sectPr>
          <w:type w:val="continuous"/>
          <w:pgSz w:w="12250" w:h="15850"/>
          <w:pgMar w:header="724" w:footer="712" w:top="1880" w:bottom="900" w:left="1417" w:right="1275"/>
          <w:cols w:num="4" w:equalWidth="0">
            <w:col w:w="4283" w:space="40"/>
            <w:col w:w="385" w:space="39"/>
            <w:col w:w="1326" w:space="39"/>
            <w:col w:w="3446"/>
          </w:cols>
        </w:sectPr>
      </w:pPr>
    </w:p>
    <w:p>
      <w:pPr>
        <w:pStyle w:val="BodyText"/>
        <w:spacing w:before="94"/>
        <w:rPr>
          <w:rFonts w:ascii="Times New Roman"/>
          <w:sz w:val="13"/>
        </w:rPr>
      </w:pPr>
    </w:p>
    <w:p>
      <w:pPr>
        <w:tabs>
          <w:tab w:pos="526" w:val="left" w:leader="none"/>
          <w:tab w:pos="886" w:val="left" w:leader="none"/>
        </w:tabs>
        <w:spacing w:line="285" w:lineRule="exact" w:before="0"/>
        <w:ind w:left="0" w:right="356" w:firstLine="0"/>
        <w:jc w:val="center"/>
        <w:rPr>
          <w:rFonts w:ascii="Times New Roman" w:hAnsi="Times New Roman"/>
          <w:i/>
          <w:sz w:val="13"/>
        </w:rPr>
      </w:pPr>
      <w:r>
        <w:rPr>
          <w:rFonts w:ascii="Times New Roman" w:hAnsi="Times New Roman"/>
          <w:i/>
          <w:spacing w:val="-5"/>
          <w:w w:val="105"/>
          <w:position w:val="-11"/>
          <w:sz w:val="23"/>
        </w:rPr>
        <w:t>C</w:t>
      </w:r>
      <w:r>
        <w:rPr>
          <w:rFonts w:ascii="Times New Roman" w:hAnsi="Times New Roman"/>
          <w:spacing w:val="-5"/>
          <w:w w:val="105"/>
          <w:position w:val="-11"/>
          <w:sz w:val="23"/>
        </w:rPr>
        <w:t>3</w:t>
      </w:r>
      <w:r>
        <w:rPr>
          <w:rFonts w:ascii="Times New Roman" w:hAnsi="Times New Roman"/>
          <w:position w:val="-11"/>
          <w:sz w:val="23"/>
        </w:rPr>
        <w:tab/>
      </w:r>
      <w:r>
        <w:rPr>
          <w:rFonts w:ascii="Symbol" w:hAnsi="Symbol"/>
          <w:spacing w:val="-10"/>
          <w:w w:val="105"/>
          <w:position w:val="-11"/>
          <w:sz w:val="23"/>
        </w:rPr>
        <w:t></w:t>
      </w:r>
      <w:r>
        <w:rPr>
          <w:rFonts w:ascii="Times New Roman" w:hAnsi="Times New Roman"/>
          <w:position w:val="-11"/>
          <w:sz w:val="23"/>
        </w:rPr>
        <w:tab/>
      </w:r>
      <w:r>
        <w:rPr>
          <w:rFonts w:ascii="Times New Roman" w:hAnsi="Times New Roman"/>
          <w:i/>
          <w:spacing w:val="2"/>
          <w:w w:val="105"/>
          <w:position w:val="6"/>
          <w:sz w:val="23"/>
        </w:rPr>
        <w:t>IE</w:t>
      </w:r>
      <w:r>
        <w:rPr>
          <w:rFonts w:ascii="Times New Roman" w:hAnsi="Times New Roman"/>
          <w:i/>
          <w:spacing w:val="2"/>
          <w:w w:val="105"/>
          <w:sz w:val="13"/>
        </w:rPr>
        <w:t>i</w:t>
      </w:r>
      <w:r>
        <w:rPr>
          <w:rFonts w:ascii="Times New Roman" w:hAnsi="Times New Roman"/>
          <w:spacing w:val="2"/>
          <w:w w:val="105"/>
          <w:sz w:val="13"/>
        </w:rPr>
        <w:t>,</w:t>
      </w:r>
      <w:r>
        <w:rPr>
          <w:rFonts w:ascii="Times New Roman" w:hAnsi="Times New Roman"/>
          <w:i/>
          <w:spacing w:val="2"/>
          <w:w w:val="105"/>
          <w:sz w:val="13"/>
        </w:rPr>
        <w:t>t</w:t>
      </w:r>
      <w:r>
        <w:rPr>
          <w:rFonts w:ascii="Times New Roman" w:hAnsi="Times New Roman"/>
          <w:i/>
          <w:spacing w:val="-9"/>
          <w:w w:val="105"/>
          <w:sz w:val="13"/>
        </w:rPr>
        <w:t> </w:t>
      </w:r>
      <w:r>
        <w:rPr>
          <w:rFonts w:ascii="Symbol" w:hAnsi="Symbol"/>
          <w:spacing w:val="-4"/>
          <w:w w:val="105"/>
          <w:sz w:val="13"/>
        </w:rPr>
        <w:t></w:t>
      </w:r>
      <w:r>
        <w:rPr>
          <w:rFonts w:ascii="Times New Roman" w:hAnsi="Times New Roman"/>
          <w:spacing w:val="-4"/>
          <w:w w:val="105"/>
          <w:sz w:val="13"/>
        </w:rPr>
        <w:t>1</w:t>
      </w:r>
      <w:r>
        <w:rPr>
          <w:rFonts w:ascii="Times New Roman" w:hAnsi="Times New Roman"/>
          <w:i/>
          <w:spacing w:val="-4"/>
          <w:w w:val="105"/>
          <w:position w:val="6"/>
          <w:sz w:val="23"/>
        </w:rPr>
        <w:t>n</w:t>
      </w:r>
      <w:r>
        <w:rPr>
          <w:rFonts w:ascii="Times New Roman" w:hAnsi="Times New Roman"/>
          <w:i/>
          <w:spacing w:val="-4"/>
          <w:w w:val="105"/>
          <w:sz w:val="13"/>
        </w:rPr>
        <w:t>i</w:t>
      </w:r>
    </w:p>
    <w:p>
      <w:pPr>
        <w:spacing w:after="0" w:line="285" w:lineRule="exact"/>
        <w:jc w:val="center"/>
        <w:rPr>
          <w:rFonts w:ascii="Times New Roman" w:hAnsi="Times New Roman"/>
          <w:i/>
          <w:sz w:val="13"/>
        </w:rPr>
        <w:sectPr>
          <w:type w:val="continuous"/>
          <w:pgSz w:w="12250" w:h="15850"/>
          <w:pgMar w:header="724" w:footer="712" w:top="1880" w:bottom="900" w:left="1417" w:right="1275"/>
        </w:sectPr>
      </w:pPr>
    </w:p>
    <w:p>
      <w:pPr>
        <w:spacing w:before="50"/>
        <w:ind w:left="0" w:right="0" w:firstLine="0"/>
        <w:jc w:val="right"/>
        <w:rPr>
          <w:rFonts w:ascii="Times New Roman"/>
          <w:i/>
          <w:sz w:val="13"/>
        </w:rPr>
      </w:pPr>
      <w:r>
        <w:rPr>
          <w:rFonts w:ascii="Times New Roman"/>
          <w:i/>
          <w:sz w:val="13"/>
        </w:rPr>
        <mc:AlternateContent>
          <mc:Choice Requires="wps">
            <w:drawing>
              <wp:anchor distT="0" distB="0" distL="0" distR="0" allowOverlap="1" layoutInCell="1" locked="0" behindDoc="1" simplePos="0" relativeHeight="486319104">
                <wp:simplePos x="0" y="0"/>
                <wp:positionH relativeFrom="page">
                  <wp:posOffset>3775532</wp:posOffset>
                </wp:positionH>
                <wp:positionV relativeFrom="paragraph">
                  <wp:posOffset>38845</wp:posOffset>
                </wp:positionV>
                <wp:extent cx="674370"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674370" cy="1270"/>
                        </a:xfrm>
                        <a:custGeom>
                          <a:avLst/>
                          <a:gdLst/>
                          <a:ahLst/>
                          <a:cxnLst/>
                          <a:rect l="l" t="t" r="r" b="b"/>
                          <a:pathLst>
                            <a:path w="674370" h="0">
                              <a:moveTo>
                                <a:pt x="0" y="0"/>
                              </a:moveTo>
                              <a:lnTo>
                                <a:pt x="674320" y="0"/>
                              </a:lnTo>
                            </a:path>
                          </a:pathLst>
                        </a:custGeom>
                        <a:ln w="171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997376" from="297.286011pt,3.058729pt" to="350.382089pt,3.05876pt" stroked="true" strokeweight=".135183pt" strokecolor="#000000">
                <v:stroke dashstyle="solid"/>
                <w10:wrap type="none"/>
              </v:line>
            </w:pict>
          </mc:Fallback>
        </mc:AlternateContent>
      </w:r>
      <w:r>
        <w:rPr>
          <w:rFonts w:ascii="Times New Roman"/>
          <w:i/>
          <w:spacing w:val="-5"/>
          <w:w w:val="110"/>
          <w:sz w:val="13"/>
        </w:rPr>
        <w:t>i</w:t>
      </w:r>
      <w:r>
        <w:rPr>
          <w:rFonts w:ascii="Times New Roman"/>
          <w:spacing w:val="-5"/>
          <w:w w:val="110"/>
          <w:sz w:val="13"/>
        </w:rPr>
        <w:t>,</w:t>
      </w:r>
      <w:r>
        <w:rPr>
          <w:rFonts w:ascii="Times New Roman"/>
          <w:i/>
          <w:spacing w:val="-5"/>
          <w:w w:val="110"/>
          <w:sz w:val="13"/>
        </w:rPr>
        <w:t>t</w:t>
      </w:r>
    </w:p>
    <w:p>
      <w:pPr>
        <w:spacing w:line="416" w:lineRule="exact" w:before="0"/>
        <w:ind w:left="264" w:right="0" w:firstLine="0"/>
        <w:jc w:val="left"/>
        <w:rPr>
          <w:rFonts w:ascii="Times New Roman" w:hAnsi="Times New Roman"/>
          <w:i/>
          <w:sz w:val="23"/>
        </w:rPr>
      </w:pPr>
      <w:r>
        <w:rPr/>
        <w:br w:type="column"/>
      </w:r>
      <w:r>
        <w:rPr>
          <w:rFonts w:ascii="Symbol" w:hAnsi="Symbol"/>
          <w:position w:val="-4"/>
          <w:sz w:val="35"/>
        </w:rPr>
        <w:t></w:t>
      </w:r>
      <w:r>
        <w:rPr>
          <w:rFonts w:ascii="Times New Roman" w:hAnsi="Times New Roman"/>
          <w:spacing w:val="-38"/>
          <w:position w:val="-4"/>
          <w:sz w:val="35"/>
        </w:rPr>
        <w:t> </w:t>
      </w:r>
      <w:r>
        <w:rPr>
          <w:rFonts w:ascii="Times New Roman" w:hAnsi="Times New Roman"/>
          <w:i/>
          <w:spacing w:val="-10"/>
          <w:sz w:val="23"/>
        </w:rPr>
        <w:t>IE</w:t>
      </w:r>
    </w:p>
    <w:p>
      <w:pPr>
        <w:spacing w:line="138" w:lineRule="exact" w:before="0"/>
        <w:ind w:left="3" w:right="0" w:firstLine="0"/>
        <w:jc w:val="center"/>
        <w:rPr>
          <w:rFonts w:ascii="Times New Roman"/>
          <w:i/>
          <w:sz w:val="13"/>
        </w:rPr>
      </w:pPr>
      <w:r>
        <w:rPr>
          <w:rFonts w:ascii="Times New Roman"/>
          <w:i/>
          <w:spacing w:val="-10"/>
          <w:w w:val="110"/>
          <w:sz w:val="13"/>
        </w:rPr>
        <w:t>i</w:t>
      </w:r>
    </w:p>
    <w:p>
      <w:pPr>
        <w:spacing w:before="85"/>
        <w:ind w:left="0" w:right="0" w:firstLine="0"/>
        <w:jc w:val="left"/>
        <w:rPr>
          <w:rFonts w:ascii="Times New Roman" w:hAnsi="Times New Roman"/>
          <w:i/>
          <w:sz w:val="13"/>
        </w:rPr>
      </w:pPr>
      <w:r>
        <w:rPr/>
        <w:br w:type="column"/>
      </w:r>
      <w:r>
        <w:rPr>
          <w:rFonts w:ascii="Times New Roman" w:hAnsi="Times New Roman"/>
          <w:i/>
          <w:w w:val="105"/>
          <w:sz w:val="13"/>
        </w:rPr>
        <w:t>i</w:t>
      </w:r>
      <w:r>
        <w:rPr>
          <w:rFonts w:ascii="Times New Roman" w:hAnsi="Times New Roman"/>
          <w:w w:val="105"/>
          <w:sz w:val="13"/>
        </w:rPr>
        <w:t>,</w:t>
      </w:r>
      <w:r>
        <w:rPr>
          <w:rFonts w:ascii="Times New Roman" w:hAnsi="Times New Roman"/>
          <w:i/>
          <w:w w:val="105"/>
          <w:sz w:val="13"/>
        </w:rPr>
        <w:t>t</w:t>
      </w:r>
      <w:r>
        <w:rPr>
          <w:rFonts w:ascii="Times New Roman" w:hAnsi="Times New Roman"/>
          <w:i/>
          <w:spacing w:val="-3"/>
          <w:w w:val="105"/>
          <w:sz w:val="13"/>
        </w:rPr>
        <w:t> </w:t>
      </w:r>
      <w:r>
        <w:rPr>
          <w:rFonts w:ascii="Symbol" w:hAnsi="Symbol"/>
          <w:spacing w:val="-4"/>
          <w:w w:val="110"/>
          <w:sz w:val="13"/>
        </w:rPr>
        <w:t></w:t>
      </w:r>
      <w:r>
        <w:rPr>
          <w:rFonts w:ascii="Times New Roman" w:hAnsi="Times New Roman"/>
          <w:spacing w:val="-4"/>
          <w:w w:val="110"/>
          <w:sz w:val="13"/>
        </w:rPr>
        <w:t>1</w:t>
      </w:r>
      <w:r>
        <w:rPr>
          <w:rFonts w:ascii="Times New Roman" w:hAnsi="Times New Roman"/>
          <w:i/>
          <w:spacing w:val="-4"/>
          <w:w w:val="110"/>
          <w:position w:val="6"/>
          <w:sz w:val="23"/>
        </w:rPr>
        <w:t>n</w:t>
      </w:r>
      <w:r>
        <w:rPr>
          <w:rFonts w:ascii="Times New Roman" w:hAnsi="Times New Roman"/>
          <w:i/>
          <w:spacing w:val="-4"/>
          <w:w w:val="110"/>
          <w:sz w:val="13"/>
        </w:rPr>
        <w:t>i</w:t>
      </w:r>
    </w:p>
    <w:p>
      <w:pPr>
        <w:spacing w:after="0"/>
        <w:jc w:val="left"/>
        <w:rPr>
          <w:rFonts w:ascii="Times New Roman" w:hAnsi="Times New Roman"/>
          <w:i/>
          <w:sz w:val="13"/>
        </w:rPr>
        <w:sectPr>
          <w:type w:val="continuous"/>
          <w:pgSz w:w="12250" w:h="15850"/>
          <w:pgMar w:header="724" w:footer="712" w:top="1880" w:bottom="900" w:left="1417" w:right="1275"/>
          <w:cols w:num="3" w:equalWidth="0">
            <w:col w:w="4233" w:space="40"/>
            <w:col w:w="774" w:space="25"/>
            <w:col w:w="4486"/>
          </w:cols>
        </w:sectPr>
      </w:pPr>
    </w:p>
    <w:p>
      <w:pPr>
        <w:pStyle w:val="BodyText"/>
        <w:spacing w:before="29"/>
        <w:rPr>
          <w:rFonts w:ascii="Times New Roman"/>
          <w:i/>
        </w:rPr>
      </w:pPr>
    </w:p>
    <w:p>
      <w:pPr>
        <w:pStyle w:val="BodyText"/>
        <w:spacing w:before="1"/>
        <w:ind w:left="577"/>
      </w:pPr>
      <w:r>
        <w:rPr>
          <w:spacing w:val="-2"/>
        </w:rPr>
        <w:t>Donde:</w:t>
      </w:r>
    </w:p>
    <w:p>
      <w:pPr>
        <w:pStyle w:val="BodyText"/>
        <w:spacing w:line="244" w:lineRule="auto" w:before="226"/>
        <w:ind w:left="289" w:right="152" w:firstLine="288"/>
        <w:jc w:val="both"/>
      </w:pPr>
      <w:r>
        <w:rPr/>
        <w:t>C1</w:t>
      </w:r>
      <w:r>
        <w:rPr>
          <w:position w:val="-3"/>
        </w:rPr>
        <w:t>i,t</w:t>
      </w:r>
      <w:r>
        <w:rPr/>
        <w:t>, C2</w:t>
      </w:r>
      <w:r>
        <w:rPr>
          <w:position w:val="-3"/>
        </w:rPr>
        <w:t>i,t</w:t>
      </w:r>
      <w:r>
        <w:rPr/>
        <w:t>, y C3</w:t>
      </w:r>
      <w:r>
        <w:rPr>
          <w:position w:val="-3"/>
        </w:rPr>
        <w:t>i,t </w:t>
      </w:r>
      <w:r>
        <w:rPr/>
        <w:t>son los coeficientes de distribución del Fondo General de Participaciones de la entidad i en el año t en que se efectúa el cálculo.</w:t>
      </w:r>
    </w:p>
    <w:p>
      <w:pPr>
        <w:pStyle w:val="BodyText"/>
        <w:spacing w:before="223"/>
        <w:ind w:left="577"/>
      </w:pPr>
      <w:r>
        <w:rPr/>
        <w:t>Considerando</w:t>
      </w:r>
      <w:r>
        <w:rPr>
          <w:spacing w:val="-7"/>
        </w:rPr>
        <w:t> </w:t>
      </w:r>
      <w:r>
        <w:rPr/>
        <w:t>los</w:t>
      </w:r>
      <w:r>
        <w:rPr>
          <w:spacing w:val="-7"/>
        </w:rPr>
        <w:t> </w:t>
      </w:r>
      <w:r>
        <w:rPr/>
        <w:t>coeficientes</w:t>
      </w:r>
      <w:r>
        <w:rPr>
          <w:spacing w:val="-7"/>
        </w:rPr>
        <w:t> </w:t>
      </w:r>
      <w:r>
        <w:rPr/>
        <w:t>C2</w:t>
      </w:r>
      <w:r>
        <w:rPr>
          <w:spacing w:val="-4"/>
        </w:rPr>
        <w:t> </w:t>
      </w:r>
      <w:r>
        <w:rPr/>
        <w:t>y</w:t>
      </w:r>
      <w:r>
        <w:rPr>
          <w:spacing w:val="-10"/>
        </w:rPr>
        <w:t> </w:t>
      </w:r>
      <w:r>
        <w:rPr/>
        <w:t>C3</w:t>
      </w:r>
      <w:r>
        <w:rPr>
          <w:spacing w:val="-6"/>
        </w:rPr>
        <w:t> </w:t>
      </w:r>
      <w:r>
        <w:rPr/>
        <w:t>como</w:t>
      </w:r>
      <w:r>
        <w:rPr>
          <w:spacing w:val="-8"/>
        </w:rPr>
        <w:t> </w:t>
      </w:r>
      <w:r>
        <w:rPr/>
        <w:t>incentivos</w:t>
      </w:r>
      <w:r>
        <w:rPr>
          <w:spacing w:val="-7"/>
        </w:rPr>
        <w:t> </w:t>
      </w:r>
      <w:r>
        <w:rPr>
          <w:spacing w:val="-2"/>
        </w:rPr>
        <w:t>recaudatorios.</w:t>
      </w:r>
    </w:p>
    <w:p>
      <w:pPr>
        <w:pStyle w:val="BodyText"/>
        <w:spacing w:before="228"/>
        <w:ind w:left="577"/>
      </w:pPr>
      <w:r>
        <w:rPr/>
        <w:t>P</w:t>
      </w:r>
      <w:r>
        <w:rPr>
          <w:position w:val="-3"/>
        </w:rPr>
        <w:t>i,t</w:t>
      </w:r>
      <w:r>
        <w:rPr>
          <w:spacing w:val="-4"/>
          <w:position w:val="-3"/>
        </w:rPr>
        <w:t> </w:t>
      </w:r>
      <w:r>
        <w:rPr/>
        <w:t>es</w:t>
      </w:r>
      <w:r>
        <w:rPr>
          <w:spacing w:val="-5"/>
        </w:rPr>
        <w:t> </w:t>
      </w:r>
      <w:r>
        <w:rPr/>
        <w:t>la</w:t>
      </w:r>
      <w:r>
        <w:rPr>
          <w:spacing w:val="-5"/>
        </w:rPr>
        <w:t> </w:t>
      </w:r>
      <w:r>
        <w:rPr/>
        <w:t>participación</w:t>
      </w:r>
      <w:r>
        <w:rPr>
          <w:spacing w:val="-5"/>
        </w:rPr>
        <w:t> </w:t>
      </w:r>
      <w:r>
        <w:rPr/>
        <w:t>del</w:t>
      </w:r>
      <w:r>
        <w:rPr>
          <w:spacing w:val="-7"/>
        </w:rPr>
        <w:t> </w:t>
      </w:r>
      <w:r>
        <w:rPr/>
        <w:t>fondo</w:t>
      </w:r>
      <w:r>
        <w:rPr>
          <w:spacing w:val="-3"/>
        </w:rPr>
        <w:t> </w:t>
      </w:r>
      <w:r>
        <w:rPr/>
        <w:t>a</w:t>
      </w:r>
      <w:r>
        <w:rPr>
          <w:spacing w:val="-7"/>
        </w:rPr>
        <w:t> </w:t>
      </w:r>
      <w:r>
        <w:rPr/>
        <w:t>que</w:t>
      </w:r>
      <w:r>
        <w:rPr>
          <w:spacing w:val="-6"/>
        </w:rPr>
        <w:t> </w:t>
      </w:r>
      <w:r>
        <w:rPr/>
        <w:t>se</w:t>
      </w:r>
      <w:r>
        <w:rPr>
          <w:spacing w:val="-5"/>
        </w:rPr>
        <w:t> </w:t>
      </w:r>
      <w:r>
        <w:rPr/>
        <w:t>refiere</w:t>
      </w:r>
      <w:r>
        <w:rPr>
          <w:spacing w:val="-6"/>
        </w:rPr>
        <w:t> </w:t>
      </w:r>
      <w:r>
        <w:rPr/>
        <w:t>este</w:t>
      </w:r>
      <w:r>
        <w:rPr>
          <w:spacing w:val="-3"/>
        </w:rPr>
        <w:t> </w:t>
      </w:r>
      <w:r>
        <w:rPr/>
        <w:t>artículo,</w:t>
      </w:r>
      <w:r>
        <w:rPr>
          <w:spacing w:val="-4"/>
        </w:rPr>
        <w:t> </w:t>
      </w:r>
      <w:r>
        <w:rPr/>
        <w:t>de</w:t>
      </w:r>
      <w:r>
        <w:rPr>
          <w:spacing w:val="-4"/>
        </w:rPr>
        <w:t> </w:t>
      </w:r>
      <w:r>
        <w:rPr/>
        <w:t>la</w:t>
      </w:r>
      <w:r>
        <w:rPr>
          <w:spacing w:val="-4"/>
        </w:rPr>
        <w:t> </w:t>
      </w:r>
      <w:r>
        <w:rPr/>
        <w:t>entidad</w:t>
      </w:r>
      <w:r>
        <w:rPr>
          <w:spacing w:val="-4"/>
        </w:rPr>
        <w:t> </w:t>
      </w:r>
      <w:r>
        <w:rPr/>
        <w:t>i</w:t>
      </w:r>
      <w:r>
        <w:rPr>
          <w:spacing w:val="-7"/>
        </w:rPr>
        <w:t> </w:t>
      </w:r>
      <w:r>
        <w:rPr/>
        <w:t>en</w:t>
      </w:r>
      <w:r>
        <w:rPr>
          <w:spacing w:val="-1"/>
        </w:rPr>
        <w:t> </w:t>
      </w:r>
      <w:r>
        <w:rPr/>
        <w:t>el</w:t>
      </w:r>
      <w:r>
        <w:rPr>
          <w:spacing w:val="-7"/>
        </w:rPr>
        <w:t> </w:t>
      </w:r>
      <w:r>
        <w:rPr/>
        <w:t>año</w:t>
      </w:r>
      <w:r>
        <w:rPr>
          <w:spacing w:val="-6"/>
        </w:rPr>
        <w:t> </w:t>
      </w:r>
      <w:r>
        <w:rPr>
          <w:spacing w:val="-5"/>
        </w:rPr>
        <w:t>t.</w:t>
      </w:r>
    </w:p>
    <w:p>
      <w:pPr>
        <w:pStyle w:val="BodyText"/>
        <w:spacing w:before="2"/>
      </w:pPr>
    </w:p>
    <w:p>
      <w:pPr>
        <w:pStyle w:val="BodyText"/>
        <w:ind w:left="289" w:right="139" w:firstLine="288"/>
        <w:jc w:val="both"/>
      </w:pPr>
      <w:r>
        <w:rPr/>
        <w:t>P</w:t>
      </w:r>
      <w:r>
        <w:rPr>
          <w:position w:val="-3"/>
        </w:rPr>
        <w:t>i,07 </w:t>
      </w:r>
      <w:r>
        <w:rPr/>
        <w:t>es la participación del fondo a que se refiere este artículo que la entidad i recibió en el año </w:t>
      </w:r>
      <w:r>
        <w:rPr>
          <w:spacing w:val="-2"/>
        </w:rPr>
        <w:t>2007.</w:t>
      </w:r>
    </w:p>
    <w:p>
      <w:pPr>
        <w:pStyle w:val="BodyText"/>
        <w:spacing w:before="1"/>
      </w:pPr>
    </w:p>
    <w:p>
      <w:pPr>
        <w:pStyle w:val="BodyText"/>
        <w:ind w:left="577"/>
      </w:pPr>
      <w:r>
        <w:rPr>
          <w:rFonts w:ascii="Symbol" w:hAnsi="Symbol"/>
          <w:sz w:val="24"/>
        </w:rPr>
        <w:t></w:t>
      </w:r>
      <w:r>
        <w:rPr/>
        <w:t>FGP</w:t>
      </w:r>
      <w:r>
        <w:rPr>
          <w:position w:val="-3"/>
        </w:rPr>
        <w:t>07,t</w:t>
      </w:r>
      <w:r>
        <w:rPr>
          <w:spacing w:val="-5"/>
          <w:position w:val="-3"/>
        </w:rPr>
        <w:t> </w:t>
      </w:r>
      <w:r>
        <w:rPr/>
        <w:t>es</w:t>
      </w:r>
      <w:r>
        <w:rPr>
          <w:spacing w:val="-5"/>
        </w:rPr>
        <w:t> </w:t>
      </w:r>
      <w:r>
        <w:rPr/>
        <w:t>el</w:t>
      </w:r>
      <w:r>
        <w:rPr>
          <w:spacing w:val="-7"/>
        </w:rPr>
        <w:t> </w:t>
      </w:r>
      <w:r>
        <w:rPr/>
        <w:t>crecimiento</w:t>
      </w:r>
      <w:r>
        <w:rPr>
          <w:spacing w:val="-4"/>
        </w:rPr>
        <w:t> </w:t>
      </w:r>
      <w:r>
        <w:rPr/>
        <w:t>en</w:t>
      </w:r>
      <w:r>
        <w:rPr>
          <w:spacing w:val="-7"/>
        </w:rPr>
        <w:t> </w:t>
      </w:r>
      <w:r>
        <w:rPr/>
        <w:t>el</w:t>
      </w:r>
      <w:r>
        <w:rPr>
          <w:spacing w:val="-7"/>
        </w:rPr>
        <w:t> </w:t>
      </w:r>
      <w:r>
        <w:rPr/>
        <w:t>Fondo</w:t>
      </w:r>
      <w:r>
        <w:rPr>
          <w:spacing w:val="-7"/>
        </w:rPr>
        <w:t> </w:t>
      </w:r>
      <w:r>
        <w:rPr/>
        <w:t>General</w:t>
      </w:r>
      <w:r>
        <w:rPr>
          <w:spacing w:val="-7"/>
        </w:rPr>
        <w:t> </w:t>
      </w:r>
      <w:r>
        <w:rPr/>
        <w:t>de</w:t>
      </w:r>
      <w:r>
        <w:rPr>
          <w:spacing w:val="-6"/>
        </w:rPr>
        <w:t> </w:t>
      </w:r>
      <w:r>
        <w:rPr/>
        <w:t>Participaciones</w:t>
      </w:r>
      <w:r>
        <w:rPr>
          <w:spacing w:val="-5"/>
        </w:rPr>
        <w:t> </w:t>
      </w:r>
      <w:r>
        <w:rPr/>
        <w:t>entre</w:t>
      </w:r>
      <w:r>
        <w:rPr>
          <w:spacing w:val="-5"/>
        </w:rPr>
        <w:t> </w:t>
      </w:r>
      <w:r>
        <w:rPr/>
        <w:t>el</w:t>
      </w:r>
      <w:r>
        <w:rPr>
          <w:spacing w:val="-5"/>
        </w:rPr>
        <w:t> </w:t>
      </w:r>
      <w:r>
        <w:rPr/>
        <w:t>año</w:t>
      </w:r>
      <w:r>
        <w:rPr>
          <w:spacing w:val="-6"/>
        </w:rPr>
        <w:t> </w:t>
      </w:r>
      <w:r>
        <w:rPr/>
        <w:t>2007</w:t>
      </w:r>
      <w:r>
        <w:rPr>
          <w:spacing w:val="-2"/>
        </w:rPr>
        <w:t> </w:t>
      </w:r>
      <w:r>
        <w:rPr/>
        <w:t>y</w:t>
      </w:r>
      <w:r>
        <w:rPr>
          <w:spacing w:val="-9"/>
        </w:rPr>
        <w:t> </w:t>
      </w:r>
      <w:r>
        <w:rPr/>
        <w:t>el</w:t>
      </w:r>
      <w:r>
        <w:rPr>
          <w:spacing w:val="-7"/>
        </w:rPr>
        <w:t> </w:t>
      </w:r>
      <w:r>
        <w:rPr/>
        <w:t>año</w:t>
      </w:r>
      <w:r>
        <w:rPr>
          <w:spacing w:val="-7"/>
        </w:rPr>
        <w:t> </w:t>
      </w:r>
      <w:r>
        <w:rPr>
          <w:spacing w:val="-5"/>
        </w:rPr>
        <w:t>t.</w:t>
      </w:r>
    </w:p>
    <w:p>
      <w:pPr>
        <w:pStyle w:val="BodyText"/>
        <w:spacing w:line="244" w:lineRule="auto" w:before="227"/>
        <w:ind w:left="289" w:right="148" w:firstLine="288"/>
        <w:jc w:val="both"/>
      </w:pPr>
      <w:r>
        <w:rPr/>
        <w:t>PIB</w:t>
      </w:r>
      <w:r>
        <w:rPr>
          <w:position w:val="-3"/>
        </w:rPr>
        <w:t>i,t-1 </w:t>
      </w:r>
      <w:r>
        <w:rPr/>
        <w:t>es la información oficial del Producto Interno Bruto del último año que hubiere dado a conocer el Instituto Nacional de Estadística y Geografía para la entidad i.</w:t>
      </w:r>
    </w:p>
    <w:p>
      <w:pPr>
        <w:pStyle w:val="BodyText"/>
        <w:spacing w:before="223"/>
        <w:ind w:left="289" w:right="151" w:firstLine="288"/>
        <w:jc w:val="both"/>
      </w:pPr>
      <w:r>
        <w:rPr/>
        <w:t>PIB</w:t>
      </w:r>
      <w:r>
        <w:rPr>
          <w:position w:val="-3"/>
        </w:rPr>
        <w:t>i,t-2 </w:t>
      </w:r>
      <w:r>
        <w:rPr/>
        <w:t>es la información oficial del Producto Interno Bruto del año anterior al definido en la</w:t>
      </w:r>
      <w:r>
        <w:rPr>
          <w:spacing w:val="40"/>
        </w:rPr>
        <w:t> </w:t>
      </w:r>
      <w:r>
        <w:rPr/>
        <w:t>variable anterior que hubiere dado a conocer el Instituto Nacional de Estadística y Geografía para la entidad i.</w:t>
      </w:r>
    </w:p>
    <w:p>
      <w:pPr>
        <w:pStyle w:val="BodyText"/>
      </w:pPr>
    </w:p>
    <w:p>
      <w:pPr>
        <w:pStyle w:val="BodyText"/>
        <w:spacing w:before="1"/>
        <w:ind w:left="289" w:right="150" w:firstLine="288"/>
        <w:jc w:val="both"/>
      </w:pPr>
      <w:r>
        <w:rPr/>
        <w:t>IEi,t es la información relativa a la recaudación de impuestos y derechos locales de la entidad i en el año t contenida en la última cuenta pública oficial y reportados en los formatos que emita la Secretaría de Hacienda y Crédito Público.</w:t>
      </w:r>
    </w:p>
    <w:p>
      <w:pPr>
        <w:pStyle w:val="BodyText"/>
        <w:spacing w:before="1"/>
      </w:pPr>
    </w:p>
    <w:p>
      <w:pPr>
        <w:pStyle w:val="BodyText"/>
        <w:ind w:left="289" w:right="153" w:firstLine="288"/>
        <w:jc w:val="both"/>
      </w:pPr>
      <w:r>
        <w:rPr/>
        <w:t>Para tal efecto, se considerarán impuestos y derechos locales todos aquéllos que se recauden a nivel estatal, así</w:t>
      </w:r>
      <w:r>
        <w:rPr>
          <w:spacing w:val="-1"/>
        </w:rPr>
        <w:t> </w:t>
      </w:r>
      <w:r>
        <w:rPr/>
        <w:t>como</w:t>
      </w:r>
      <w:r>
        <w:rPr>
          <w:spacing w:val="-1"/>
        </w:rPr>
        <w:t> </w:t>
      </w:r>
      <w:r>
        <w:rPr/>
        <w:t>el impuesto</w:t>
      </w:r>
      <w:r>
        <w:rPr>
          <w:spacing w:val="-1"/>
        </w:rPr>
        <w:t> </w:t>
      </w:r>
      <w:r>
        <w:rPr/>
        <w:t>predial y</w:t>
      </w:r>
      <w:r>
        <w:rPr>
          <w:spacing w:val="-2"/>
        </w:rPr>
        <w:t> </w:t>
      </w:r>
      <w:r>
        <w:rPr/>
        <w:t>los derechos por suministro</w:t>
      </w:r>
      <w:r>
        <w:rPr>
          <w:spacing w:val="-1"/>
        </w:rPr>
        <w:t> </w:t>
      </w:r>
      <w:r>
        <w:rPr/>
        <w:t>de</w:t>
      </w:r>
      <w:r>
        <w:rPr>
          <w:spacing w:val="-1"/>
        </w:rPr>
        <w:t> </w:t>
      </w:r>
      <w:r>
        <w:rPr/>
        <w:t>agua</w:t>
      </w:r>
      <w:r>
        <w:rPr>
          <w:spacing w:val="-1"/>
        </w:rPr>
        <w:t> </w:t>
      </w:r>
      <w:r>
        <w:rPr/>
        <w:t>que</w:t>
      </w:r>
      <w:r>
        <w:rPr>
          <w:spacing w:val="-1"/>
        </w:rPr>
        <w:t> </w:t>
      </w:r>
      <w:r>
        <w:rPr/>
        <w:t>registren un flujo de efectivo.</w:t>
      </w:r>
    </w:p>
    <w:p>
      <w:pPr>
        <w:pStyle w:val="BodyText"/>
        <w:spacing w:before="229"/>
        <w:ind w:left="289" w:right="145" w:firstLine="288"/>
        <w:jc w:val="both"/>
      </w:pPr>
      <w:r>
        <w:rPr/>
        <w:t>Las cifras reportadas en la cuenta pública oficial de los citados ingresos, que estén relacionadas con el otorgamiento de beneficios, programas, subvenciones, o subsidios, aun cuando tengan una denominación distinta en la legislación local correspondiente, y que estén dirigidos a determinado sector</w:t>
      </w:r>
      <w:r>
        <w:rPr>
          <w:spacing w:val="-3"/>
        </w:rPr>
        <w:t> </w:t>
      </w:r>
      <w:r>
        <w:rPr/>
        <w:t>de</w:t>
      </w:r>
      <w:r>
        <w:rPr>
          <w:spacing w:val="-1"/>
        </w:rPr>
        <w:t> </w:t>
      </w:r>
      <w:r>
        <w:rPr/>
        <w:t>la</w:t>
      </w:r>
      <w:r>
        <w:rPr>
          <w:spacing w:val="-3"/>
        </w:rPr>
        <w:t> </w:t>
      </w:r>
      <w:r>
        <w:rPr/>
        <w:t>población</w:t>
      </w:r>
      <w:r>
        <w:rPr>
          <w:spacing w:val="-4"/>
        </w:rPr>
        <w:t> </w:t>
      </w:r>
      <w:r>
        <w:rPr/>
        <w:t>o</w:t>
      </w:r>
      <w:r>
        <w:rPr>
          <w:spacing w:val="-1"/>
        </w:rPr>
        <w:t> </w:t>
      </w:r>
      <w:r>
        <w:rPr/>
        <w:t>de</w:t>
      </w:r>
      <w:r>
        <w:rPr>
          <w:spacing w:val="-2"/>
        </w:rPr>
        <w:t> </w:t>
      </w:r>
      <w:r>
        <w:rPr/>
        <w:t>la</w:t>
      </w:r>
      <w:r>
        <w:rPr>
          <w:spacing w:val="-3"/>
        </w:rPr>
        <w:t> </w:t>
      </w:r>
      <w:r>
        <w:rPr/>
        <w:t>economía,</w:t>
      </w:r>
      <w:r>
        <w:rPr>
          <w:spacing w:val="-3"/>
        </w:rPr>
        <w:t> </w:t>
      </w:r>
      <w:r>
        <w:rPr/>
        <w:t>no</w:t>
      </w:r>
      <w:r>
        <w:rPr>
          <w:spacing w:val="-4"/>
        </w:rPr>
        <w:t> </w:t>
      </w:r>
      <w:r>
        <w:rPr/>
        <w:t>se</w:t>
      </w:r>
      <w:r>
        <w:rPr>
          <w:spacing w:val="-3"/>
        </w:rPr>
        <w:t> </w:t>
      </w:r>
      <w:r>
        <w:rPr/>
        <w:t>considerarán</w:t>
      </w:r>
      <w:r>
        <w:rPr>
          <w:spacing w:val="-3"/>
        </w:rPr>
        <w:t> </w:t>
      </w:r>
      <w:r>
        <w:rPr/>
        <w:t>ingresos</w:t>
      </w:r>
      <w:r>
        <w:rPr>
          <w:spacing w:val="-2"/>
        </w:rPr>
        <w:t> </w:t>
      </w:r>
      <w:r>
        <w:rPr/>
        <w:t>para</w:t>
      </w:r>
      <w:r>
        <w:rPr>
          <w:spacing w:val="-3"/>
        </w:rPr>
        <w:t> </w:t>
      </w:r>
      <w:r>
        <w:rPr/>
        <w:t>efectos de</w:t>
      </w:r>
      <w:r>
        <w:rPr>
          <w:spacing w:val="-2"/>
        </w:rPr>
        <w:t> </w:t>
      </w:r>
      <w:r>
        <w:rPr/>
        <w:t>la</w:t>
      </w:r>
      <w:r>
        <w:rPr>
          <w:spacing w:val="-3"/>
        </w:rPr>
        <w:t> </w:t>
      </w:r>
      <w:r>
        <w:rPr/>
        <w:t>determinación de coeficientes de participaciones.</w:t>
      </w:r>
    </w:p>
    <w:p>
      <w:pPr>
        <w:pStyle w:val="BodyText"/>
        <w:spacing w:after="0"/>
        <w:jc w:val="both"/>
        <w:sectPr>
          <w:type w:val="continuous"/>
          <w:pgSz w:w="12250" w:h="15850"/>
          <w:pgMar w:header="724" w:footer="712" w:top="1880" w:bottom="900" w:left="1417" w:right="1275"/>
        </w:sectPr>
      </w:pPr>
    </w:p>
    <w:p>
      <w:pPr>
        <w:pStyle w:val="BodyText"/>
        <w:spacing w:before="67"/>
      </w:pPr>
    </w:p>
    <w:p>
      <w:pPr>
        <w:pStyle w:val="BodyText"/>
        <w:ind w:left="289" w:right="149" w:firstLine="288"/>
        <w:jc w:val="both"/>
      </w:pPr>
      <w:r>
        <w:rPr/>
        <w:t>En lo que corresponde a los derechos, se considerarán aquellas contribuciones establecidas en Ley por el uso o aprovechamiento de los bienes del dominio público de la entidad, así como por los servicios que presten las entidades en sus funciones de derecho público, excepto cuando se presten por organismos descentralizados u órganos desconcentrados. No obstante, se considerarán los derechos</w:t>
      </w:r>
      <w:r>
        <w:rPr>
          <w:spacing w:val="-1"/>
        </w:rPr>
        <w:t> </w:t>
      </w:r>
      <w:r>
        <w:rPr/>
        <w:t>a cargo de los organismos</w:t>
      </w:r>
      <w:r>
        <w:rPr>
          <w:spacing w:val="-1"/>
        </w:rPr>
        <w:t> </w:t>
      </w:r>
      <w:r>
        <w:rPr/>
        <w:t>públicos</w:t>
      </w:r>
      <w:r>
        <w:rPr>
          <w:spacing w:val="-1"/>
        </w:rPr>
        <w:t> </w:t>
      </w:r>
      <w:r>
        <w:rPr/>
        <w:t>descentralizados</w:t>
      </w:r>
      <w:r>
        <w:rPr>
          <w:spacing w:val="-1"/>
        </w:rPr>
        <w:t> </w:t>
      </w:r>
      <w:r>
        <w:rPr/>
        <w:t>que</w:t>
      </w:r>
      <w:r>
        <w:rPr>
          <w:spacing w:val="-3"/>
        </w:rPr>
        <w:t> </w:t>
      </w:r>
      <w:r>
        <w:rPr/>
        <w:t>presten</w:t>
      </w:r>
      <w:r>
        <w:rPr>
          <w:spacing w:val="-3"/>
        </w:rPr>
        <w:t> </w:t>
      </w:r>
      <w:r>
        <w:rPr/>
        <w:t>servicios</w:t>
      </w:r>
      <w:r>
        <w:rPr>
          <w:spacing w:val="-1"/>
        </w:rPr>
        <w:t> </w:t>
      </w:r>
      <w:r>
        <w:rPr/>
        <w:t>exclusivos de las </w:t>
      </w:r>
      <w:r>
        <w:rPr>
          <w:spacing w:val="-2"/>
        </w:rPr>
        <w:t>entidades.</w:t>
      </w:r>
    </w:p>
    <w:p>
      <w:pPr>
        <w:pStyle w:val="BodyText"/>
        <w:spacing w:before="1"/>
      </w:pPr>
    </w:p>
    <w:p>
      <w:pPr>
        <w:pStyle w:val="BodyText"/>
        <w:ind w:left="289" w:right="145" w:firstLine="288"/>
        <w:jc w:val="both"/>
      </w:pPr>
      <w:r>
        <w:rPr/>
        <w:t>La Comisión Permanente de Funcionarios Fiscales podrá aprobar otros impuestos y derechos respecto de los cuales exista información certera y verificable, atendiendo a criterios de equidad entre las entidades federativas.</w:t>
      </w:r>
    </w:p>
    <w:p>
      <w:pPr>
        <w:pStyle w:val="BodyText"/>
        <w:spacing w:before="229"/>
        <w:ind w:left="289" w:right="150" w:firstLine="288"/>
        <w:jc w:val="both"/>
      </w:pPr>
      <w:r>
        <w:rPr>
          <w:rFonts w:ascii="Symbol" w:hAnsi="Symbol"/>
          <w:sz w:val="24"/>
        </w:rPr>
        <w:t></w:t>
      </w:r>
      <w:r>
        <w:rPr/>
        <w:t>IE</w:t>
      </w:r>
      <w:r>
        <w:rPr>
          <w:position w:val="-3"/>
        </w:rPr>
        <w:t>i,t </w:t>
      </w:r>
      <w:r>
        <w:rPr/>
        <w:t>es un promedio móvil de tres años de las tasas de crecimiento en la recaudación de los impuestos y derechos locales de la entidad i, referidos en la variable anterior.</w:t>
      </w:r>
    </w:p>
    <w:p>
      <w:pPr>
        <w:pStyle w:val="BodyText"/>
        <w:spacing w:before="230"/>
        <w:ind w:left="289" w:right="151" w:firstLine="288"/>
        <w:jc w:val="both"/>
      </w:pPr>
      <w:r>
        <w:rPr/>
        <w:t>n</w:t>
      </w:r>
      <w:r>
        <w:rPr>
          <w:position w:val="-3"/>
        </w:rPr>
        <w:t>i </w:t>
      </w:r>
      <w:r>
        <w:rPr/>
        <w:t>es la última información oficial de población que hubiere dado a conocer el Instituto Nacional de Estadística y Geografía para la entidad i.</w:t>
      </w:r>
    </w:p>
    <w:p>
      <w:pPr>
        <w:pStyle w:val="BodyText"/>
        <w:tabs>
          <w:tab w:pos="1093" w:val="left" w:leader="none"/>
        </w:tabs>
        <w:spacing w:line="413" w:lineRule="exact" w:before="189"/>
        <w:ind w:left="610"/>
      </w:pPr>
      <w:r>
        <w:rPr>
          <w:rFonts w:ascii="Symbol" w:hAnsi="Symbol"/>
          <w:spacing w:val="-10"/>
          <w:position w:val="-4"/>
          <w:sz w:val="35"/>
        </w:rPr>
        <w:t></w:t>
      </w:r>
      <w:r>
        <w:rPr>
          <w:rFonts w:ascii="Times New Roman" w:hAnsi="Times New Roman"/>
          <w:position w:val="-4"/>
          <w:sz w:val="35"/>
        </w:rPr>
        <w:tab/>
      </w:r>
      <w:r>
        <w:rPr/>
        <w:t>es</w:t>
      </w:r>
      <w:r>
        <w:rPr>
          <w:spacing w:val="-6"/>
        </w:rPr>
        <w:t> </w:t>
      </w:r>
      <w:r>
        <w:rPr/>
        <w:t>la</w:t>
      </w:r>
      <w:r>
        <w:rPr>
          <w:spacing w:val="-6"/>
        </w:rPr>
        <w:t> </w:t>
      </w:r>
      <w:r>
        <w:rPr/>
        <w:t>suma</w:t>
      </w:r>
      <w:r>
        <w:rPr>
          <w:spacing w:val="-6"/>
        </w:rPr>
        <w:t> </w:t>
      </w:r>
      <w:r>
        <w:rPr/>
        <w:t>sobre</w:t>
      </w:r>
      <w:r>
        <w:rPr>
          <w:spacing w:val="-6"/>
        </w:rPr>
        <w:t> </w:t>
      </w:r>
      <w:r>
        <w:rPr/>
        <w:t>todas</w:t>
      </w:r>
      <w:r>
        <w:rPr>
          <w:spacing w:val="-5"/>
        </w:rPr>
        <w:t> </w:t>
      </w:r>
      <w:r>
        <w:rPr/>
        <w:t>las</w:t>
      </w:r>
      <w:r>
        <w:rPr>
          <w:spacing w:val="-5"/>
        </w:rPr>
        <w:t> </w:t>
      </w:r>
      <w:r>
        <w:rPr/>
        <w:t>entidades</w:t>
      </w:r>
      <w:r>
        <w:rPr>
          <w:spacing w:val="-5"/>
        </w:rPr>
        <w:t> </w:t>
      </w:r>
      <w:r>
        <w:rPr/>
        <w:t>de</w:t>
      </w:r>
      <w:r>
        <w:rPr>
          <w:spacing w:val="-5"/>
        </w:rPr>
        <w:t> </w:t>
      </w:r>
      <w:r>
        <w:rPr/>
        <w:t>la</w:t>
      </w:r>
      <w:r>
        <w:rPr>
          <w:spacing w:val="-4"/>
        </w:rPr>
        <w:t> </w:t>
      </w:r>
      <w:r>
        <w:rPr/>
        <w:t>variable</w:t>
      </w:r>
      <w:r>
        <w:rPr>
          <w:spacing w:val="-4"/>
        </w:rPr>
        <w:t> </w:t>
      </w:r>
      <w:r>
        <w:rPr/>
        <w:t>que</w:t>
      </w:r>
      <w:r>
        <w:rPr>
          <w:spacing w:val="-2"/>
        </w:rPr>
        <w:t> </w:t>
      </w:r>
      <w:r>
        <w:rPr/>
        <w:t>le</w:t>
      </w:r>
      <w:r>
        <w:rPr>
          <w:spacing w:val="-4"/>
        </w:rPr>
        <w:t> </w:t>
      </w:r>
      <w:r>
        <w:rPr>
          <w:spacing w:val="-2"/>
        </w:rPr>
        <w:t>sigue.</w:t>
      </w:r>
    </w:p>
    <w:p>
      <w:pPr>
        <w:spacing w:line="145" w:lineRule="exact" w:before="0"/>
        <w:ind w:left="711" w:right="0" w:firstLine="0"/>
        <w:jc w:val="left"/>
        <w:rPr>
          <w:rFonts w:ascii="Times New Roman"/>
          <w:i/>
          <w:sz w:val="14"/>
        </w:rPr>
      </w:pPr>
      <w:r>
        <w:rPr>
          <w:rFonts w:ascii="Times New Roman"/>
          <w:i/>
          <w:spacing w:val="-10"/>
          <w:sz w:val="14"/>
        </w:rPr>
        <w:t>i</w:t>
      </w:r>
    </w:p>
    <w:p>
      <w:pPr>
        <w:spacing w:before="20"/>
        <w:ind w:left="192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26-12-1990,</w:t>
      </w:r>
      <w:r>
        <w:rPr>
          <w:rFonts w:ascii="Times New Roman" w:hAnsi="Times New Roman"/>
          <w:i/>
          <w:color w:val="0000FF"/>
          <w:spacing w:val="-8"/>
          <w:sz w:val="16"/>
        </w:rPr>
        <w:t> </w:t>
      </w:r>
      <w:r>
        <w:rPr>
          <w:rFonts w:ascii="Times New Roman" w:hAnsi="Times New Roman"/>
          <w:i/>
          <w:color w:val="0000FF"/>
          <w:sz w:val="16"/>
        </w:rPr>
        <w:t>31-12-1999.</w:t>
      </w:r>
      <w:r>
        <w:rPr>
          <w:rFonts w:ascii="Times New Roman" w:hAnsi="Times New Roman"/>
          <w:i/>
          <w:color w:val="0000FF"/>
          <w:spacing w:val="-7"/>
          <w:sz w:val="16"/>
        </w:rPr>
        <w:t> </w:t>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“fórmula”</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21-12-2007,</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3"/>
        <w:rPr>
          <w:rFonts w:ascii="Times New Roman"/>
          <w:i/>
        </w:rPr>
      </w:pPr>
    </w:p>
    <w:p>
      <w:pPr>
        <w:pStyle w:val="BodyText"/>
        <w:ind w:left="1" w:right="142" w:firstLine="288"/>
        <w:jc w:val="both"/>
      </w:pPr>
      <w:r>
        <w:rPr/>
        <w:t>Las entidades deberán informar de la totalidad de la recaudación que efectúen de cada uno de sus impuestos y derechos locales, en los formatos que para ello emita la Secretaría de Hacienda y Crédito Público. La fórmula anterior no será aplicable en el evento de que en el año de cálculo la recaudación federal participable sea inferior a la observada en el año 2007. En dicho supuesto, la distribución se realizará en función de la cantidad efectivamente generada en el año de cálculo y de acuerdo al coeficiente efectivo que cada entidad haya recibido de dicho Fondo en el año 2007. La Secretaría de Hacienda y Crédito Público podrá solicitar a las entidades la información que estime necesaria para verificar las cifras recaudatorias locales presentadas por las entidades.</w:t>
      </w:r>
    </w:p>
    <w:p>
      <w:pPr>
        <w:spacing w:line="183" w:lineRule="exact" w:before="0"/>
        <w:ind w:left="455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26-12-1990,</w:t>
      </w:r>
      <w:r>
        <w:rPr>
          <w:rFonts w:ascii="Times New Roman" w:hAnsi="Times New Roman"/>
          <w:i/>
          <w:color w:val="0000FF"/>
          <w:spacing w:val="-8"/>
          <w:sz w:val="16"/>
        </w:rPr>
        <w:t> </w:t>
      </w:r>
      <w:r>
        <w:rPr>
          <w:rFonts w:ascii="Times New Roman" w:hAnsi="Times New Roman"/>
          <w:i/>
          <w:color w:val="0000FF"/>
          <w:sz w:val="16"/>
        </w:rPr>
        <w:t>03-12-1993,</w:t>
      </w:r>
      <w:r>
        <w:rPr>
          <w:rFonts w:ascii="Times New Roman" w:hAnsi="Times New Roman"/>
          <w:i/>
          <w:color w:val="0000FF"/>
          <w:spacing w:val="-9"/>
          <w:sz w:val="16"/>
        </w:rPr>
        <w:t> </w:t>
      </w:r>
      <w:r>
        <w:rPr>
          <w:rFonts w:ascii="Times New Roman" w:hAnsi="Times New Roman"/>
          <w:i/>
          <w:color w:val="0000FF"/>
          <w:sz w:val="16"/>
        </w:rPr>
        <w:t>21-12-2007,</w:t>
      </w:r>
      <w:r>
        <w:rPr>
          <w:rFonts w:ascii="Times New Roman" w:hAnsi="Times New Roman"/>
          <w:i/>
          <w:color w:val="0000FF"/>
          <w:spacing w:val="-9"/>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8"/>
        <w:rPr>
          <w:rFonts w:ascii="Times New Roman"/>
          <w:i/>
          <w:sz w:val="16"/>
        </w:rPr>
      </w:pPr>
    </w:p>
    <w:p>
      <w:pPr>
        <w:pStyle w:val="BodyText"/>
        <w:ind w:left="1" w:right="143" w:firstLine="288"/>
        <w:jc w:val="both"/>
      </w:pPr>
      <w:r>
        <w:rPr/>
        <w:t>También se adicionará al Fondo General un monto equivalente al 80% del impuesto recaudado en 1989 por las entidades federativas, por concepto de las bases especiales de tributación. Dicho monto se actualizará en los términos del artículo 17-A del Código Fiscal de la Federación, desde el sexto mes de 1989 hasta el sexto mes del ejercicio en el que se efectúe la distribución. Este monto se dividirá entre doce y se distribuirá mensualmente a las entidades, en la proporción que representa la recaudación de estas bases de cada entidad, respecto del 80% de la recaudación por bases especiales de tributación en el año de 1989.</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26-12-</w:t>
      </w:r>
      <w:r>
        <w:rPr>
          <w:rFonts w:ascii="Times New Roman" w:hAnsi="Times New Roman"/>
          <w:i/>
          <w:color w:val="0000FF"/>
          <w:spacing w:val="-4"/>
          <w:sz w:val="16"/>
        </w:rPr>
        <w:t>1990</w:t>
      </w:r>
    </w:p>
    <w:p>
      <w:pPr>
        <w:pStyle w:val="BodyText"/>
        <w:spacing w:before="48"/>
        <w:rPr>
          <w:rFonts w:ascii="Times New Roman"/>
          <w:i/>
          <w:sz w:val="16"/>
        </w:rPr>
      </w:pPr>
    </w:p>
    <w:p>
      <w:pPr>
        <w:pStyle w:val="BodyText"/>
        <w:ind w:left="1" w:right="143" w:firstLine="288"/>
        <w:jc w:val="both"/>
      </w:pPr>
      <w:r>
        <w:rPr/>
        <w:t>Adicionalmente, las entidades participarán en los accesorios de las contribuciones que forman parte</w:t>
      </w:r>
      <w:r>
        <w:rPr>
          <w:spacing w:val="40"/>
        </w:rPr>
        <w:t> </w:t>
      </w:r>
      <w:r>
        <w:rPr/>
        <w:t>de la recaudación federal participable, que se señalen en los convenios respectivos. En los productos de la Federación relacionados con bienes o bosques, que las leyes definen como nacionales, ubicados en el territorio de cada entidad, ésta recibirá el 50% de su monto, cuando provenga de venta o arrendamiento de terrenos nacionales o de la explotación de tales terrenos o de bosques nacionales.</w:t>
      </w:r>
    </w:p>
    <w:p>
      <w:pPr>
        <w:pStyle w:val="BodyText"/>
      </w:pPr>
    </w:p>
    <w:p>
      <w:pPr>
        <w:pStyle w:val="BodyText"/>
        <w:ind w:left="1" w:right="139" w:firstLine="288"/>
        <w:jc w:val="both"/>
      </w:pPr>
      <w:r>
        <w:rPr/>
        <w:t>Asimismo, las citadas entidades adheridas al Sistema Nacional de Coordinación Fiscal podrán</w:t>
      </w:r>
      <w:r>
        <w:rPr>
          <w:spacing w:val="40"/>
        </w:rPr>
        <w:t> </w:t>
      </w:r>
      <w:r>
        <w:rPr/>
        <w:t>celebrar con la Federación convenio de colaboración administrativa en materia del impuesto sobre automóviles nuevos, supuesto en el cual la entidad de que se trate recibirá el 100% de la recaudación</w:t>
      </w:r>
      <w:r>
        <w:rPr>
          <w:spacing w:val="40"/>
        </w:rPr>
        <w:t> </w:t>
      </w:r>
      <w:r>
        <w:rPr/>
        <w:t>que se obtenga por este impuesto, del que corresponderá cuando menos el 20% a los municipios de la entidad, que se distribuirá entre ellos en la forma que determine la legislatura respectiva.</w:t>
      </w:r>
    </w:p>
    <w:p>
      <w:pPr>
        <w:spacing w:line="240" w:lineRule="auto" w:before="0"/>
        <w:ind w:left="553" w:right="0" w:firstLine="643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30-12-1996</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21-12-2007:</w:t>
      </w:r>
      <w:r>
        <w:rPr>
          <w:rFonts w:ascii="Times New Roman" w:hAnsi="Times New Roman"/>
          <w:i/>
          <w:color w:val="585858"/>
          <w:spacing w:val="-2"/>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2"/>
          <w:sz w:val="16"/>
        </w:rPr>
        <w:t> </w:t>
      </w:r>
      <w:r>
        <w:rPr>
          <w:rFonts w:ascii="Times New Roman" w:hAnsi="Times New Roman"/>
          <w:i/>
          <w:color w:val="585858"/>
          <w:sz w:val="16"/>
        </w:rPr>
        <w:t>artículo</w:t>
      </w:r>
      <w:r>
        <w:rPr>
          <w:rFonts w:ascii="Times New Roman" w:hAnsi="Times New Roman"/>
          <w:i/>
          <w:color w:val="585858"/>
          <w:spacing w:val="-2"/>
          <w:sz w:val="16"/>
        </w:rPr>
        <w:t> </w:t>
      </w:r>
      <w:r>
        <w:rPr>
          <w:rFonts w:ascii="Times New Roman" w:hAnsi="Times New Roman"/>
          <w:i/>
          <w:color w:val="585858"/>
          <w:sz w:val="16"/>
        </w:rPr>
        <w:t>el</w:t>
      </w:r>
      <w:r>
        <w:rPr>
          <w:rFonts w:ascii="Times New Roman" w:hAnsi="Times New Roman"/>
          <w:i/>
          <w:color w:val="585858"/>
          <w:spacing w:val="-2"/>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w:t>
      </w:r>
      <w:r>
        <w:rPr>
          <w:rFonts w:ascii="Times New Roman" w:hAnsi="Times New Roman"/>
          <w:i/>
          <w:color w:val="585858"/>
          <w:spacing w:val="-2"/>
          <w:sz w:val="16"/>
        </w:rPr>
        <w:t> </w:t>
      </w:r>
      <w:r>
        <w:rPr>
          <w:rFonts w:ascii="Times New Roman" w:hAnsi="Times New Roman"/>
          <w:i/>
          <w:color w:val="585858"/>
          <w:sz w:val="16"/>
        </w:rPr>
        <w:t>noveno (antes</w:t>
      </w:r>
      <w:r>
        <w:rPr>
          <w:rFonts w:ascii="Times New Roman" w:hAnsi="Times New Roman"/>
          <w:i/>
          <w:color w:val="585858"/>
          <w:spacing w:val="-3"/>
          <w:sz w:val="16"/>
        </w:rPr>
        <w:t> </w:t>
      </w:r>
      <w:r>
        <w:rPr>
          <w:rFonts w:ascii="Times New Roman" w:hAnsi="Times New Roman"/>
          <w:i/>
          <w:color w:val="585858"/>
          <w:sz w:val="16"/>
        </w:rPr>
        <w:t>reformado</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26-12-1990,</w:t>
      </w:r>
      <w:r>
        <w:rPr>
          <w:rFonts w:ascii="Times New Roman" w:hAnsi="Times New Roman"/>
          <w:i/>
          <w:color w:val="585858"/>
          <w:spacing w:val="-2"/>
          <w:sz w:val="16"/>
        </w:rPr>
        <w:t> </w:t>
      </w:r>
      <w:r>
        <w:rPr>
          <w:rFonts w:ascii="Times New Roman" w:hAnsi="Times New Roman"/>
          <w:i/>
          <w:color w:val="585858"/>
          <w:sz w:val="16"/>
        </w:rPr>
        <w:t>20-12-1991,</w:t>
      </w:r>
      <w:r>
        <w:rPr>
          <w:rFonts w:ascii="Times New Roman" w:hAnsi="Times New Roman"/>
          <w:i/>
          <w:color w:val="585858"/>
          <w:spacing w:val="-2"/>
          <w:sz w:val="16"/>
        </w:rPr>
        <w:t> </w:t>
      </w:r>
      <w:r>
        <w:rPr>
          <w:rFonts w:ascii="Times New Roman" w:hAnsi="Times New Roman"/>
          <w:i/>
          <w:color w:val="585858"/>
          <w:sz w:val="16"/>
        </w:rPr>
        <w:t>15-12-1995,</w:t>
      </w:r>
    </w:p>
    <w:p>
      <w:pPr>
        <w:spacing w:after="0" w:line="240" w:lineRule="auto"/>
        <w:jc w:val="left"/>
        <w:rPr>
          <w:rFonts w:ascii="Times New Roman" w:hAnsi="Times New Roman"/>
          <w:i/>
          <w:sz w:val="16"/>
        </w:rPr>
        <w:sectPr>
          <w:pgSz w:w="12250" w:h="15850"/>
          <w:pgMar w:header="724" w:footer="712" w:top="1880" w:bottom="900" w:left="1417" w:right="1275"/>
        </w:sectPr>
      </w:pPr>
    </w:p>
    <w:p>
      <w:pPr>
        <w:pStyle w:val="BodyText"/>
        <w:spacing w:before="111"/>
        <w:rPr>
          <w:rFonts w:ascii="Times New Roman"/>
          <w:i/>
          <w:sz w:val="16"/>
        </w:rPr>
      </w:pPr>
    </w:p>
    <w:p>
      <w:pPr>
        <w:spacing w:line="183" w:lineRule="exact" w:before="0"/>
        <w:ind w:left="0" w:right="136" w:firstLine="0"/>
        <w:jc w:val="right"/>
        <w:rPr>
          <w:rFonts w:ascii="Times New Roman"/>
          <w:i/>
          <w:sz w:val="16"/>
        </w:rPr>
      </w:pPr>
      <w:r>
        <w:rPr>
          <w:rFonts w:ascii="Times New Roman"/>
          <w:i/>
          <w:color w:val="585858"/>
          <w:spacing w:val="-2"/>
          <w:sz w:val="16"/>
        </w:rPr>
        <w:t>30-12-1996)</w:t>
      </w:r>
    </w:p>
    <w:p>
      <w:pPr>
        <w:spacing w:before="0"/>
        <w:ind w:left="297" w:right="136" w:firstLine="107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2"/>
          <w:sz w:val="16"/>
        </w:rPr>
        <w:t> </w:t>
      </w:r>
      <w:r>
        <w:rPr>
          <w:rFonts w:ascii="Times New Roman" w:hAnsi="Times New Roman"/>
          <w:i/>
          <w:color w:val="585858"/>
          <w:sz w:val="16"/>
        </w:rPr>
        <w:t>09-12-2013:</w:t>
      </w:r>
      <w:r>
        <w:rPr>
          <w:rFonts w:ascii="Times New Roman" w:hAnsi="Times New Roman"/>
          <w:i/>
          <w:color w:val="585858"/>
          <w:spacing w:val="-2"/>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2"/>
          <w:sz w:val="16"/>
        </w:rPr>
        <w:t> </w:t>
      </w:r>
      <w:r>
        <w:rPr>
          <w:rFonts w:ascii="Times New Roman" w:hAnsi="Times New Roman"/>
          <w:i/>
          <w:color w:val="585858"/>
          <w:sz w:val="16"/>
        </w:rPr>
        <w:t>artículo</w:t>
      </w:r>
      <w:r>
        <w:rPr>
          <w:rFonts w:ascii="Times New Roman" w:hAnsi="Times New Roman"/>
          <w:i/>
          <w:color w:val="585858"/>
          <w:spacing w:val="-2"/>
          <w:sz w:val="16"/>
        </w:rPr>
        <w:t> </w:t>
      </w:r>
      <w:r>
        <w:rPr>
          <w:rFonts w:ascii="Times New Roman" w:hAnsi="Times New Roman"/>
          <w:i/>
          <w:color w:val="585858"/>
          <w:sz w:val="16"/>
        </w:rPr>
        <w:t>el</w:t>
      </w:r>
      <w:r>
        <w:rPr>
          <w:rFonts w:ascii="Times New Roman" w:hAnsi="Times New Roman"/>
          <w:i/>
          <w:color w:val="585858"/>
          <w:spacing w:val="-2"/>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w:t>
      </w:r>
      <w:r>
        <w:rPr>
          <w:rFonts w:ascii="Times New Roman" w:hAnsi="Times New Roman"/>
          <w:i/>
          <w:color w:val="585858"/>
          <w:spacing w:val="-2"/>
          <w:sz w:val="16"/>
        </w:rPr>
        <w:t> </w:t>
      </w:r>
      <w:r>
        <w:rPr>
          <w:rFonts w:ascii="Times New Roman" w:hAnsi="Times New Roman"/>
          <w:i/>
          <w:color w:val="585858"/>
          <w:sz w:val="16"/>
        </w:rPr>
        <w:t>tercero</w:t>
      </w:r>
      <w:r>
        <w:rPr>
          <w:rFonts w:ascii="Times New Roman" w:hAnsi="Times New Roman"/>
          <w:i/>
          <w:color w:val="585858"/>
          <w:spacing w:val="-2"/>
          <w:sz w:val="16"/>
        </w:rPr>
        <w:t> </w:t>
      </w:r>
      <w:r>
        <w:rPr>
          <w:rFonts w:ascii="Times New Roman" w:hAnsi="Times New Roman"/>
          <w:i/>
          <w:color w:val="585858"/>
          <w:sz w:val="16"/>
        </w:rPr>
        <w:t>(antes</w:t>
      </w:r>
      <w:r>
        <w:rPr>
          <w:rFonts w:ascii="Times New Roman" w:hAnsi="Times New Roman"/>
          <w:i/>
          <w:color w:val="585858"/>
          <w:spacing w:val="-3"/>
          <w:sz w:val="16"/>
        </w:rPr>
        <w:t> </w:t>
      </w:r>
      <w:r>
        <w:rPr>
          <w:rFonts w:ascii="Times New Roman" w:hAnsi="Times New Roman"/>
          <w:i/>
          <w:color w:val="585858"/>
          <w:sz w:val="16"/>
        </w:rPr>
        <w:t>reformado</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03-12-1993,</w:t>
      </w:r>
      <w:r>
        <w:rPr>
          <w:rFonts w:ascii="Times New Roman" w:hAnsi="Times New Roman"/>
          <w:i/>
          <w:color w:val="585858"/>
          <w:spacing w:val="-2"/>
          <w:sz w:val="16"/>
        </w:rPr>
        <w:t> </w:t>
      </w:r>
      <w:r>
        <w:rPr>
          <w:rFonts w:ascii="Times New Roman" w:hAnsi="Times New Roman"/>
          <w:i/>
          <w:color w:val="585858"/>
          <w:sz w:val="16"/>
        </w:rPr>
        <w:t>29-12-1993)</w:t>
      </w:r>
      <w:r>
        <w:rPr>
          <w:rFonts w:ascii="Times New Roman" w:hAnsi="Times New Roman"/>
          <w:i/>
          <w:color w:val="585858"/>
          <w:spacing w:val="40"/>
          <w:sz w:val="16"/>
        </w:rPr>
        <w:t> </w:t>
      </w:r>
      <w:r>
        <w:rPr>
          <w:rFonts w:ascii="Times New Roman" w:hAnsi="Times New Roman"/>
          <w:i/>
          <w:color w:val="585858"/>
          <w:sz w:val="16"/>
        </w:rPr>
        <w:t>Reforma</w:t>
      </w:r>
      <w:r>
        <w:rPr>
          <w:rFonts w:ascii="Times New Roman" w:hAnsi="Times New Roman"/>
          <w:i/>
          <w:color w:val="585858"/>
          <w:spacing w:val="-9"/>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09-12-2013:</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7"/>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6"/>
          <w:sz w:val="16"/>
        </w:rPr>
        <w:t> </w:t>
      </w:r>
      <w:r>
        <w:rPr>
          <w:rFonts w:ascii="Times New Roman" w:hAnsi="Times New Roman"/>
          <w:i/>
          <w:color w:val="585858"/>
          <w:sz w:val="16"/>
        </w:rPr>
        <w:t>cuarto</w:t>
      </w:r>
      <w:r>
        <w:rPr>
          <w:rFonts w:ascii="Times New Roman" w:hAnsi="Times New Roman"/>
          <w:i/>
          <w:color w:val="585858"/>
          <w:spacing w:val="-4"/>
          <w:sz w:val="16"/>
        </w:rPr>
        <w:t> </w:t>
      </w:r>
      <w:r>
        <w:rPr>
          <w:rFonts w:ascii="Times New Roman" w:hAnsi="Times New Roman"/>
          <w:i/>
          <w:color w:val="585858"/>
          <w:sz w:val="16"/>
        </w:rPr>
        <w:t>(antes</w:t>
      </w:r>
      <w:r>
        <w:rPr>
          <w:rFonts w:ascii="Times New Roman" w:hAnsi="Times New Roman"/>
          <w:i/>
          <w:color w:val="585858"/>
          <w:spacing w:val="-8"/>
          <w:sz w:val="16"/>
        </w:rPr>
        <w:t> </w:t>
      </w:r>
      <w:r>
        <w:rPr>
          <w:rFonts w:ascii="Times New Roman" w:hAnsi="Times New Roman"/>
          <w:i/>
          <w:color w:val="585858"/>
          <w:sz w:val="16"/>
        </w:rPr>
        <w:t>adicionado</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26-12-1990,</w:t>
      </w:r>
      <w:r>
        <w:rPr>
          <w:rFonts w:ascii="Times New Roman" w:hAnsi="Times New Roman"/>
          <w:i/>
          <w:color w:val="585858"/>
          <w:spacing w:val="-6"/>
          <w:sz w:val="16"/>
        </w:rPr>
        <w:t> </w:t>
      </w:r>
      <w:r>
        <w:rPr>
          <w:rFonts w:ascii="Times New Roman" w:hAnsi="Times New Roman"/>
          <w:i/>
          <w:color w:val="585858"/>
          <w:sz w:val="16"/>
        </w:rPr>
        <w:t>reformado</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15-12-</w:t>
      </w:r>
      <w:r>
        <w:rPr>
          <w:rFonts w:ascii="Times New Roman" w:hAnsi="Times New Roman"/>
          <w:i/>
          <w:color w:val="585858"/>
          <w:spacing w:val="-2"/>
          <w:sz w:val="16"/>
        </w:rPr>
        <w:t>1995,</w:t>
      </w:r>
    </w:p>
    <w:p>
      <w:pPr>
        <w:spacing w:line="183" w:lineRule="exact" w:before="1"/>
        <w:ind w:left="0" w:right="136" w:firstLine="0"/>
        <w:jc w:val="right"/>
        <w:rPr>
          <w:rFonts w:ascii="Times New Roman"/>
          <w:i/>
          <w:sz w:val="16"/>
        </w:rPr>
      </w:pPr>
      <w:r>
        <w:rPr>
          <w:rFonts w:ascii="Times New Roman"/>
          <w:i/>
          <w:color w:val="585858"/>
          <w:spacing w:val="-2"/>
          <w:sz w:val="16"/>
        </w:rPr>
        <w:t>30-12-1996,</w:t>
      </w:r>
      <w:r>
        <w:rPr>
          <w:rFonts w:ascii="Times New Roman"/>
          <w:i/>
          <w:color w:val="585858"/>
          <w:spacing w:val="16"/>
          <w:sz w:val="16"/>
        </w:rPr>
        <w:t> </w:t>
      </w:r>
      <w:r>
        <w:rPr>
          <w:rFonts w:ascii="Times New Roman"/>
          <w:i/>
          <w:color w:val="585858"/>
          <w:spacing w:val="-2"/>
          <w:sz w:val="16"/>
        </w:rPr>
        <w:t>29-12-1997,</w:t>
      </w:r>
      <w:r>
        <w:rPr>
          <w:rFonts w:ascii="Times New Roman"/>
          <w:i/>
          <w:color w:val="585858"/>
          <w:spacing w:val="16"/>
          <w:sz w:val="16"/>
        </w:rPr>
        <w:t> </w:t>
      </w:r>
      <w:r>
        <w:rPr>
          <w:rFonts w:ascii="Times New Roman"/>
          <w:i/>
          <w:color w:val="585858"/>
          <w:spacing w:val="-2"/>
          <w:sz w:val="16"/>
        </w:rPr>
        <w:t>21-12-</w:t>
      </w:r>
      <w:r>
        <w:rPr>
          <w:rFonts w:ascii="Times New Roman"/>
          <w:i/>
          <w:color w:val="585858"/>
          <w:spacing w:val="-4"/>
          <w:sz w:val="16"/>
        </w:rPr>
        <w:t>2007)</w:t>
      </w:r>
    </w:p>
    <w:p>
      <w:pPr>
        <w:spacing w:line="183" w:lineRule="exact" w:before="0"/>
        <w:ind w:left="0" w:right="137"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30-12-1980,</w:t>
      </w:r>
      <w:r>
        <w:rPr>
          <w:rFonts w:ascii="Times New Roman" w:hAnsi="Times New Roman"/>
          <w:i/>
          <w:color w:val="0000FF"/>
          <w:spacing w:val="-6"/>
          <w:sz w:val="16"/>
        </w:rPr>
        <w:t> </w:t>
      </w:r>
      <w:r>
        <w:rPr>
          <w:rFonts w:ascii="Times New Roman" w:hAnsi="Times New Roman"/>
          <w:i/>
          <w:color w:val="0000FF"/>
          <w:sz w:val="16"/>
        </w:rPr>
        <w:t>31-12-1981,</w:t>
      </w:r>
      <w:r>
        <w:rPr>
          <w:rFonts w:ascii="Times New Roman" w:hAnsi="Times New Roman"/>
          <w:i/>
          <w:color w:val="0000FF"/>
          <w:spacing w:val="-7"/>
          <w:sz w:val="16"/>
        </w:rPr>
        <w:t> </w:t>
      </w:r>
      <w:r>
        <w:rPr>
          <w:rFonts w:ascii="Times New Roman" w:hAnsi="Times New Roman"/>
          <w:i/>
          <w:color w:val="0000FF"/>
          <w:sz w:val="16"/>
        </w:rPr>
        <w:t>31-12-1982,</w:t>
      </w:r>
      <w:r>
        <w:rPr>
          <w:rFonts w:ascii="Times New Roman" w:hAnsi="Times New Roman"/>
          <w:i/>
          <w:color w:val="0000FF"/>
          <w:spacing w:val="-7"/>
          <w:sz w:val="16"/>
        </w:rPr>
        <w:t> </w:t>
      </w:r>
      <w:r>
        <w:rPr>
          <w:rFonts w:ascii="Times New Roman" w:hAnsi="Times New Roman"/>
          <w:i/>
          <w:color w:val="0000FF"/>
          <w:sz w:val="16"/>
        </w:rPr>
        <w:t>30-12-1983.</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28-03-1984.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2"/>
          <w:sz w:val="16"/>
        </w:rPr>
        <w:t>1986,</w:t>
      </w:r>
    </w:p>
    <w:p>
      <w:pPr>
        <w:spacing w:before="1"/>
        <w:ind w:left="0" w:right="138" w:firstLine="0"/>
        <w:jc w:val="right"/>
        <w:rPr>
          <w:rFonts w:ascii="Times New Roman"/>
          <w:i/>
          <w:sz w:val="16"/>
        </w:rPr>
      </w:pPr>
      <w:r>
        <w:rPr>
          <w:rFonts w:ascii="Times New Roman"/>
          <w:i/>
          <w:color w:val="0000FF"/>
          <w:spacing w:val="-2"/>
          <w:sz w:val="16"/>
        </w:rPr>
        <w:t>31-12-1987,</w:t>
      </w:r>
      <w:r>
        <w:rPr>
          <w:rFonts w:ascii="Times New Roman"/>
          <w:i/>
          <w:color w:val="0000FF"/>
          <w:spacing w:val="21"/>
          <w:sz w:val="16"/>
        </w:rPr>
        <w:t> </w:t>
      </w:r>
      <w:r>
        <w:rPr>
          <w:rFonts w:ascii="Times New Roman"/>
          <w:i/>
          <w:color w:val="0000FF"/>
          <w:spacing w:val="-2"/>
          <w:sz w:val="16"/>
        </w:rPr>
        <w:t>28-12-</w:t>
      </w:r>
      <w:r>
        <w:rPr>
          <w:rFonts w:ascii="Times New Roman"/>
          <w:i/>
          <w:color w:val="0000FF"/>
          <w:spacing w:val="-4"/>
          <w:sz w:val="16"/>
        </w:rPr>
        <w:t>1989</w:t>
      </w:r>
    </w:p>
    <w:p>
      <w:pPr>
        <w:pStyle w:val="BodyText"/>
        <w:spacing w:before="46"/>
        <w:rPr>
          <w:rFonts w:ascii="Times New Roman"/>
          <w:i/>
          <w:sz w:val="16"/>
        </w:rPr>
      </w:pPr>
    </w:p>
    <w:p>
      <w:pPr>
        <w:pStyle w:val="BodyText"/>
        <w:spacing w:line="242" w:lineRule="auto" w:before="1"/>
        <w:ind w:left="1" w:firstLine="288"/>
      </w:pPr>
      <w:bookmarkStart w:name="Artículo_2_A" w:id="3"/>
      <w:bookmarkEnd w:id="3"/>
      <w:r>
        <w:rPr/>
      </w:r>
      <w:r>
        <w:rPr>
          <w:rFonts w:ascii="Arial" w:hAnsi="Arial"/>
          <w:b/>
        </w:rPr>
        <w:t>Artículo 2-A.- </w:t>
      </w:r>
      <w:r>
        <w:rPr/>
        <w:t>En el rendimiento de las contribuciones que a continuación se señalan, participarán los Municipios, en la forma siguiente: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7"/>
        <w:rPr>
          <w:rFonts w:ascii="Times New Roman"/>
          <w:i/>
          <w:sz w:val="16"/>
        </w:rPr>
      </w:pPr>
    </w:p>
    <w:p>
      <w:pPr>
        <w:pStyle w:val="BodyText"/>
        <w:tabs>
          <w:tab w:pos="721" w:val="left" w:leader="none"/>
        </w:tabs>
        <w:spacing w:line="229" w:lineRule="exact"/>
        <w:ind w:left="289"/>
      </w:pPr>
      <w:r>
        <w:rPr>
          <w:rFonts w:ascii="Arial" w:hAnsi="Arial"/>
          <w:b/>
          <w:spacing w:val="-5"/>
        </w:rPr>
        <w:t>I.-</w:t>
      </w:r>
      <w:r>
        <w:rPr>
          <w:rFonts w:ascii="Arial" w:hAnsi="Arial"/>
          <w:b/>
        </w:rPr>
        <w:tab/>
      </w:r>
      <w:r>
        <w:rPr/>
        <w:t>En</w:t>
      </w:r>
      <w:r>
        <w:rPr>
          <w:spacing w:val="-5"/>
        </w:rPr>
        <w:t> </w:t>
      </w:r>
      <w:r>
        <w:rPr/>
        <w:t>la</w:t>
      </w:r>
      <w:r>
        <w:rPr>
          <w:spacing w:val="-6"/>
        </w:rPr>
        <w:t> </w:t>
      </w:r>
      <w:r>
        <w:rPr/>
        <w:t>proporción</w:t>
      </w:r>
      <w:r>
        <w:rPr>
          <w:spacing w:val="-7"/>
        </w:rPr>
        <w:t> </w:t>
      </w:r>
      <w:r>
        <w:rPr/>
        <w:t>de</w:t>
      </w:r>
      <w:r>
        <w:rPr>
          <w:spacing w:val="-7"/>
        </w:rPr>
        <w:t> </w:t>
      </w:r>
      <w:r>
        <w:rPr/>
        <w:t>la</w:t>
      </w:r>
      <w:r>
        <w:rPr>
          <w:spacing w:val="-6"/>
        </w:rPr>
        <w:t> </w:t>
      </w:r>
      <w:r>
        <w:rPr/>
        <w:t>recaudación</w:t>
      </w:r>
      <w:r>
        <w:rPr>
          <w:spacing w:val="-7"/>
        </w:rPr>
        <w:t> </w:t>
      </w:r>
      <w:r>
        <w:rPr/>
        <w:t>federal</w:t>
      </w:r>
      <w:r>
        <w:rPr>
          <w:spacing w:val="-7"/>
        </w:rPr>
        <w:t> </w:t>
      </w:r>
      <w:r>
        <w:rPr/>
        <w:t>participable</w:t>
      </w:r>
      <w:r>
        <w:rPr>
          <w:spacing w:val="-5"/>
        </w:rPr>
        <w:t> </w:t>
      </w:r>
      <w:r>
        <w:rPr/>
        <w:t>en</w:t>
      </w:r>
      <w:r>
        <w:rPr>
          <w:spacing w:val="-5"/>
        </w:rPr>
        <w:t> </w:t>
      </w:r>
      <w:r>
        <w:rPr/>
        <w:t>la</w:t>
      </w:r>
      <w:r>
        <w:rPr>
          <w:spacing w:val="-7"/>
        </w:rPr>
        <w:t> </w:t>
      </w:r>
      <w:r>
        <w:rPr/>
        <w:t>forma</w:t>
      </w:r>
      <w:r>
        <w:rPr>
          <w:spacing w:val="-6"/>
        </w:rPr>
        <w:t> </w:t>
      </w:r>
      <w:r>
        <w:rPr>
          <w:spacing w:val="-2"/>
        </w:rPr>
        <w:t>siguiente: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50"/>
        <w:rPr>
          <w:rFonts w:ascii="Times New Roman"/>
          <w:i/>
          <w:sz w:val="16"/>
        </w:rPr>
      </w:pPr>
    </w:p>
    <w:p>
      <w:pPr>
        <w:pStyle w:val="BodyText"/>
        <w:spacing w:before="1"/>
        <w:ind w:left="721" w:right="143" w:hanging="12"/>
        <w:jc w:val="both"/>
      </w:pPr>
      <w:r>
        <w:rPr/>
        <w:t>0.136% de la recaudación federal participable, a aquellos Municipios colindantes con la frontera o los litorales por los que</w:t>
      </w:r>
      <w:r>
        <w:rPr>
          <w:spacing w:val="-1"/>
        </w:rPr>
        <w:t> </w:t>
      </w:r>
      <w:r>
        <w:rPr/>
        <w:t>se</w:t>
      </w:r>
      <w:r>
        <w:rPr>
          <w:spacing w:val="-1"/>
        </w:rPr>
        <w:t> </w:t>
      </w:r>
      <w:r>
        <w:rPr/>
        <w:t>realicen</w:t>
      </w:r>
      <w:r>
        <w:rPr>
          <w:spacing w:val="-2"/>
        </w:rPr>
        <w:t> </w:t>
      </w:r>
      <w:r>
        <w:rPr/>
        <w:t>materialmente</w:t>
      </w:r>
      <w:r>
        <w:rPr>
          <w:spacing w:val="-1"/>
        </w:rPr>
        <w:t> </w:t>
      </w:r>
      <w:r>
        <w:rPr/>
        <w:t>la</w:t>
      </w:r>
      <w:r>
        <w:rPr>
          <w:spacing w:val="-1"/>
        </w:rPr>
        <w:t> </w:t>
      </w:r>
      <w:r>
        <w:rPr/>
        <w:t>entrada</w:t>
      </w:r>
      <w:r>
        <w:rPr>
          <w:spacing w:val="-1"/>
        </w:rPr>
        <w:t> </w:t>
      </w:r>
      <w:r>
        <w:rPr/>
        <w:t>al</w:t>
      </w:r>
      <w:r>
        <w:rPr>
          <w:spacing w:val="-2"/>
        </w:rPr>
        <w:t> </w:t>
      </w:r>
      <w:r>
        <w:rPr/>
        <w:t>país o</w:t>
      </w:r>
      <w:r>
        <w:rPr>
          <w:spacing w:val="-1"/>
        </w:rPr>
        <w:t> </w:t>
      </w:r>
      <w:r>
        <w:rPr/>
        <w:t>la</w:t>
      </w:r>
      <w:r>
        <w:rPr>
          <w:spacing w:val="-1"/>
        </w:rPr>
        <w:t> </w:t>
      </w:r>
      <w:r>
        <w:rPr/>
        <w:t>salida</w:t>
      </w:r>
      <w:r>
        <w:rPr>
          <w:spacing w:val="-2"/>
        </w:rPr>
        <w:t> </w:t>
      </w:r>
      <w:r>
        <w:rPr/>
        <w:t>de él</w:t>
      </w:r>
      <w:r>
        <w:rPr>
          <w:spacing w:val="-2"/>
        </w:rPr>
        <w:t> </w:t>
      </w:r>
      <w:r>
        <w:rPr/>
        <w:t>de los bienes que se importen o exporten, siempre que la entidad federativa de que se trate celebre convenio con la Federación en materia de vigilancia y control de introducción ilegal al territorio nacional de mercancías de procedencia extranjera y en dichos convenios se establezcan descuentos en las participaciones a que se refiere esta fracción, en los casos en que se detecten mercancías de procedencia extranjera respecto de las cuales no se acredite su legal estancia en el país.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15-12-</w:t>
      </w:r>
      <w:r>
        <w:rPr>
          <w:rFonts w:ascii="Times New Roman" w:hAnsi="Times New Roman"/>
          <w:i/>
          <w:color w:val="0000FF"/>
          <w:spacing w:val="-4"/>
          <w:sz w:val="16"/>
        </w:rPr>
        <w:t>1995</w:t>
      </w:r>
    </w:p>
    <w:p>
      <w:pPr>
        <w:pStyle w:val="BodyText"/>
        <w:spacing w:before="47"/>
        <w:rPr>
          <w:rFonts w:ascii="Times New Roman"/>
          <w:i/>
          <w:sz w:val="16"/>
        </w:rPr>
      </w:pPr>
    </w:p>
    <w:p>
      <w:pPr>
        <w:pStyle w:val="BodyText"/>
        <w:ind w:left="721" w:right="152" w:hanging="12"/>
        <w:jc w:val="both"/>
      </w:pPr>
      <w:r>
        <w:rPr/>
        <w:t>La distribución entre los municipios se realizará mediante la aplicación del coeficiente de participación que se determinará para cada uno de ellos conforme a la siguiente fórmula:</w:t>
      </w:r>
    </w:p>
    <w:p>
      <w:pPr>
        <w:pStyle w:val="BodyText"/>
        <w:spacing w:before="1"/>
      </w:pPr>
    </w:p>
    <w:p>
      <w:pPr>
        <w:pStyle w:val="BodyText"/>
        <w:ind w:left="145"/>
        <w:jc w:val="center"/>
      </w:pPr>
      <w:r>
        <w:rPr/>
        <w:t>CCiT</w:t>
      </w:r>
      <w:r>
        <w:rPr>
          <w:spacing w:val="-1"/>
        </w:rPr>
        <w:t> </w:t>
      </w:r>
      <w:r>
        <w:rPr/>
        <w:t>=</w:t>
      </w:r>
      <w:r>
        <w:rPr>
          <w:spacing w:val="-5"/>
        </w:rPr>
        <w:t> </w:t>
      </w:r>
      <w:r>
        <w:rPr/>
        <w:t>Bi</w:t>
      </w:r>
      <w:r>
        <w:rPr>
          <w:spacing w:val="-4"/>
        </w:rPr>
        <w:t> </w:t>
      </w:r>
      <w:r>
        <w:rPr/>
        <w:t>/</w:t>
      </w:r>
      <w:r>
        <w:rPr>
          <w:spacing w:val="-4"/>
        </w:rPr>
        <w:t> </w:t>
      </w:r>
      <w:r>
        <w:rPr>
          <w:spacing w:val="-7"/>
        </w:rPr>
        <w:t>TB</w:t>
      </w:r>
    </w:p>
    <w:p>
      <w:pPr>
        <w:pStyle w:val="BodyText"/>
        <w:spacing w:before="1"/>
      </w:pPr>
    </w:p>
    <w:p>
      <w:pPr>
        <w:pStyle w:val="BodyText"/>
        <w:ind w:left="1009"/>
      </w:pPr>
      <w:r>
        <w:rPr>
          <w:spacing w:val="-2"/>
        </w:rPr>
        <w:t>Donde:</w:t>
      </w:r>
    </w:p>
    <w:p>
      <w:pPr>
        <w:pStyle w:val="BodyText"/>
        <w:spacing w:before="229"/>
        <w:ind w:left="1021" w:hanging="12"/>
      </w:pPr>
      <w:r>
        <w:rPr/>
        <w:t>CCiT es</w:t>
      </w:r>
      <w:r>
        <w:rPr>
          <w:spacing w:val="-1"/>
        </w:rPr>
        <w:t> </w:t>
      </w:r>
      <w:r>
        <w:rPr/>
        <w:t>el</w:t>
      </w:r>
      <w:r>
        <w:rPr>
          <w:spacing w:val="-2"/>
        </w:rPr>
        <w:t> </w:t>
      </w:r>
      <w:r>
        <w:rPr/>
        <w:t>coeficiente de participación</w:t>
      </w:r>
      <w:r>
        <w:rPr>
          <w:spacing w:val="-1"/>
        </w:rPr>
        <w:t> </w:t>
      </w:r>
      <w:r>
        <w:rPr/>
        <w:t>de los</w:t>
      </w:r>
      <w:r>
        <w:rPr>
          <w:spacing w:val="-1"/>
        </w:rPr>
        <w:t> </w:t>
      </w:r>
      <w:r>
        <w:rPr/>
        <w:t>municipios</w:t>
      </w:r>
      <w:r>
        <w:rPr>
          <w:spacing w:val="-1"/>
        </w:rPr>
        <w:t> </w:t>
      </w:r>
      <w:r>
        <w:rPr/>
        <w:t>colindantes</w:t>
      </w:r>
      <w:r>
        <w:rPr>
          <w:spacing w:val="-1"/>
        </w:rPr>
        <w:t> </w:t>
      </w:r>
      <w:r>
        <w:rPr/>
        <w:t>i en el</w:t>
      </w:r>
      <w:r>
        <w:rPr>
          <w:spacing w:val="-2"/>
        </w:rPr>
        <w:t> </w:t>
      </w:r>
      <w:r>
        <w:rPr/>
        <w:t>año para</w:t>
      </w:r>
      <w:r>
        <w:rPr>
          <w:spacing w:val="-1"/>
        </w:rPr>
        <w:t> </w:t>
      </w:r>
      <w:r>
        <w:rPr/>
        <w:t>el</w:t>
      </w:r>
      <w:r>
        <w:rPr>
          <w:spacing w:val="-1"/>
        </w:rPr>
        <w:t> </w:t>
      </w:r>
      <w:r>
        <w:rPr/>
        <w:t>que</w:t>
      </w:r>
      <w:r>
        <w:rPr>
          <w:spacing w:val="-1"/>
        </w:rPr>
        <w:t> </w:t>
      </w:r>
      <w:r>
        <w:rPr/>
        <w:t>se efectúa el cálculo.</w:t>
      </w:r>
    </w:p>
    <w:p>
      <w:pPr>
        <w:pStyle w:val="BodyText"/>
        <w:spacing w:before="1"/>
      </w:pPr>
    </w:p>
    <w:p>
      <w:pPr>
        <w:pStyle w:val="BodyText"/>
        <w:spacing w:line="477" w:lineRule="auto"/>
        <w:ind w:left="1009" w:right="6695"/>
      </w:pPr>
      <w:r>
        <w:rPr/>
        <w:t>TB</w:t>
      </w:r>
      <w:r>
        <w:rPr>
          <w:spacing w:val="-7"/>
        </w:rPr>
        <w:t> </w:t>
      </w:r>
      <w:r>
        <w:rPr/>
        <w:t>es</w:t>
      </w:r>
      <w:r>
        <w:rPr>
          <w:spacing w:val="-6"/>
        </w:rPr>
        <w:t> </w:t>
      </w:r>
      <w:r>
        <w:rPr/>
        <w:t>la</w:t>
      </w:r>
      <w:r>
        <w:rPr>
          <w:spacing w:val="-7"/>
        </w:rPr>
        <w:t> </w:t>
      </w:r>
      <w:r>
        <w:rPr/>
        <w:t>suma</w:t>
      </w:r>
      <w:r>
        <w:rPr>
          <w:spacing w:val="-7"/>
        </w:rPr>
        <w:t> </w:t>
      </w:r>
      <w:r>
        <w:rPr/>
        <w:t>de</w:t>
      </w:r>
      <w:r>
        <w:rPr>
          <w:spacing w:val="-7"/>
        </w:rPr>
        <w:t> </w:t>
      </w:r>
      <w:r>
        <w:rPr/>
        <w:t>Bi. i es cada entidad.</w:t>
      </w:r>
    </w:p>
    <w:p>
      <w:pPr>
        <w:pStyle w:val="BodyText"/>
        <w:spacing w:before="4"/>
        <w:ind w:left="3446"/>
      </w:pPr>
      <w:r>
        <w:rPr/>
        <w:t>Bi</w:t>
      </w:r>
      <w:r>
        <w:rPr>
          <w:spacing w:val="-5"/>
        </w:rPr>
        <w:t> </w:t>
      </w:r>
      <w:r>
        <w:rPr/>
        <w:t>=</w:t>
      </w:r>
      <w:r>
        <w:rPr>
          <w:spacing w:val="-7"/>
        </w:rPr>
        <w:t> </w:t>
      </w:r>
      <w:r>
        <w:rPr/>
        <w:t>(CCiT-1)</w:t>
      </w:r>
      <w:r>
        <w:rPr>
          <w:spacing w:val="-5"/>
        </w:rPr>
        <w:t> </w:t>
      </w:r>
      <w:r>
        <w:rPr/>
        <w:t>(IPDAiT-1)</w:t>
      </w:r>
      <w:r>
        <w:rPr>
          <w:spacing w:val="-6"/>
        </w:rPr>
        <w:t> </w:t>
      </w:r>
      <w:r>
        <w:rPr/>
        <w:t>/</w:t>
      </w:r>
      <w:r>
        <w:rPr>
          <w:spacing w:val="-6"/>
        </w:rPr>
        <w:t> </w:t>
      </w:r>
      <w:r>
        <w:rPr/>
        <w:t>IPDAT-</w:t>
      </w:r>
      <w:r>
        <w:rPr>
          <w:spacing w:val="-10"/>
        </w:rPr>
        <w:t>2</w:t>
      </w:r>
    </w:p>
    <w:p>
      <w:pPr>
        <w:pStyle w:val="BodyText"/>
        <w:spacing w:before="1"/>
      </w:pPr>
    </w:p>
    <w:p>
      <w:pPr>
        <w:pStyle w:val="BodyText"/>
        <w:ind w:left="1009"/>
      </w:pPr>
      <w:r>
        <w:rPr>
          <w:spacing w:val="-2"/>
        </w:rPr>
        <w:t>Donde:</w:t>
      </w:r>
    </w:p>
    <w:p>
      <w:pPr>
        <w:pStyle w:val="BodyText"/>
        <w:tabs>
          <w:tab w:pos="1864" w:val="left" w:leader="none"/>
        </w:tabs>
        <w:spacing w:before="229"/>
        <w:ind w:left="2145" w:right="149" w:hanging="1136"/>
      </w:pPr>
      <w:r>
        <w:rPr>
          <w:spacing w:val="-2"/>
        </w:rPr>
        <w:t>CCiT-1</w:t>
      </w:r>
      <w:r>
        <w:rPr/>
        <w:tab/>
        <w:t>=</w:t>
      </w:r>
      <w:r>
        <w:rPr>
          <w:spacing w:val="80"/>
        </w:rPr>
        <w:t> </w:t>
      </w:r>
      <w:r>
        <w:rPr/>
        <w:t>Coeficiente</w:t>
      </w:r>
      <w:r>
        <w:rPr>
          <w:spacing w:val="-1"/>
        </w:rPr>
        <w:t> </w:t>
      </w:r>
      <w:r>
        <w:rPr/>
        <w:t>de</w:t>
      </w:r>
      <w:r>
        <w:rPr>
          <w:spacing w:val="-1"/>
        </w:rPr>
        <w:t> </w:t>
      </w:r>
      <w:r>
        <w:rPr/>
        <w:t>participaciones del</w:t>
      </w:r>
      <w:r>
        <w:rPr>
          <w:spacing w:val="-2"/>
        </w:rPr>
        <w:t> </w:t>
      </w:r>
      <w:r>
        <w:rPr/>
        <w:t>municipio</w:t>
      </w:r>
      <w:r>
        <w:rPr>
          <w:spacing w:val="-1"/>
        </w:rPr>
        <w:t> </w:t>
      </w:r>
      <w:r>
        <w:rPr/>
        <w:t>i en</w:t>
      </w:r>
      <w:r>
        <w:rPr>
          <w:spacing w:val="-2"/>
        </w:rPr>
        <w:t> </w:t>
      </w:r>
      <w:r>
        <w:rPr/>
        <w:t>el</w:t>
      </w:r>
      <w:r>
        <w:rPr>
          <w:spacing w:val="-2"/>
        </w:rPr>
        <w:t> </w:t>
      </w:r>
      <w:r>
        <w:rPr/>
        <w:t>año</w:t>
      </w:r>
      <w:r>
        <w:rPr>
          <w:spacing w:val="-1"/>
        </w:rPr>
        <w:t> </w:t>
      </w:r>
      <w:r>
        <w:rPr/>
        <w:t>inmediato</w:t>
      </w:r>
      <w:r>
        <w:rPr>
          <w:spacing w:val="-1"/>
        </w:rPr>
        <w:t> </w:t>
      </w:r>
      <w:r>
        <w:rPr/>
        <w:t>anterior a</w:t>
      </w:r>
      <w:r>
        <w:rPr>
          <w:spacing w:val="-1"/>
        </w:rPr>
        <w:t> </w:t>
      </w:r>
      <w:r>
        <w:rPr/>
        <w:t>aquel para el cual se efectúa el cálculo.</w:t>
      </w:r>
    </w:p>
    <w:p>
      <w:pPr>
        <w:pStyle w:val="BodyText"/>
        <w:spacing w:before="1"/>
      </w:pPr>
    </w:p>
    <w:p>
      <w:pPr>
        <w:pStyle w:val="BodyText"/>
        <w:ind w:left="2145" w:right="149" w:hanging="1136"/>
      </w:pPr>
      <w:r>
        <w:rPr/>
        <w:t>IPDAiT-1</w:t>
      </w:r>
      <w:r>
        <w:rPr>
          <w:spacing w:val="-3"/>
        </w:rPr>
        <w:t> </w:t>
      </w:r>
      <w:r>
        <w:rPr/>
        <w:t>=</w:t>
      </w:r>
      <w:r>
        <w:rPr>
          <w:spacing w:val="80"/>
        </w:rPr>
        <w:t> </w:t>
      </w:r>
      <w:r>
        <w:rPr/>
        <w:t>Recaudación</w:t>
      </w:r>
      <w:r>
        <w:rPr>
          <w:spacing w:val="20"/>
        </w:rPr>
        <w:t> </w:t>
      </w:r>
      <w:r>
        <w:rPr/>
        <w:t>local</w:t>
      </w:r>
      <w:r>
        <w:rPr>
          <w:spacing w:val="18"/>
        </w:rPr>
        <w:t> </w:t>
      </w:r>
      <w:r>
        <w:rPr/>
        <w:t>de</w:t>
      </w:r>
      <w:r>
        <w:rPr>
          <w:spacing w:val="20"/>
        </w:rPr>
        <w:t> </w:t>
      </w:r>
      <w:r>
        <w:rPr/>
        <w:t>predial</w:t>
      </w:r>
      <w:r>
        <w:rPr>
          <w:spacing w:val="22"/>
        </w:rPr>
        <w:t> </w:t>
      </w:r>
      <w:r>
        <w:rPr/>
        <w:t>y de</w:t>
      </w:r>
      <w:r>
        <w:rPr>
          <w:spacing w:val="18"/>
        </w:rPr>
        <w:t> </w:t>
      </w:r>
      <w:r>
        <w:rPr/>
        <w:t>los</w:t>
      </w:r>
      <w:r>
        <w:rPr>
          <w:spacing w:val="19"/>
        </w:rPr>
        <w:t> </w:t>
      </w:r>
      <w:r>
        <w:rPr/>
        <w:t>derechos</w:t>
      </w:r>
      <w:r>
        <w:rPr>
          <w:spacing w:val="20"/>
        </w:rPr>
        <w:t> </w:t>
      </w:r>
      <w:r>
        <w:rPr/>
        <w:t>de</w:t>
      </w:r>
      <w:r>
        <w:rPr>
          <w:spacing w:val="18"/>
        </w:rPr>
        <w:t> </w:t>
      </w:r>
      <w:r>
        <w:rPr/>
        <w:t>agua</w:t>
      </w:r>
      <w:r>
        <w:rPr>
          <w:spacing w:val="18"/>
        </w:rPr>
        <w:t> </w:t>
      </w:r>
      <w:r>
        <w:rPr/>
        <w:t>en</w:t>
      </w:r>
      <w:r>
        <w:rPr>
          <w:spacing w:val="18"/>
        </w:rPr>
        <w:t> </w:t>
      </w:r>
      <w:r>
        <w:rPr/>
        <w:t>el</w:t>
      </w:r>
      <w:r>
        <w:rPr>
          <w:spacing w:val="17"/>
        </w:rPr>
        <w:t> </w:t>
      </w:r>
      <w:r>
        <w:rPr/>
        <w:t>municipio</w:t>
      </w:r>
      <w:r>
        <w:rPr>
          <w:spacing w:val="21"/>
        </w:rPr>
        <w:t> </w:t>
      </w:r>
      <w:r>
        <w:rPr/>
        <w:t>i</w:t>
      </w:r>
      <w:r>
        <w:rPr>
          <w:spacing w:val="18"/>
        </w:rPr>
        <w:t> </w:t>
      </w:r>
      <w:r>
        <w:rPr/>
        <w:t>en</w:t>
      </w:r>
      <w:r>
        <w:rPr>
          <w:spacing w:val="18"/>
        </w:rPr>
        <w:t> </w:t>
      </w:r>
      <w:r>
        <w:rPr/>
        <w:t>el año inmediato anterior para el cual se efectúa el cálculo.</w:t>
      </w:r>
    </w:p>
    <w:p>
      <w:pPr>
        <w:pStyle w:val="BodyText"/>
        <w:spacing w:before="229"/>
        <w:ind w:left="2145" w:right="149" w:hanging="1136"/>
      </w:pPr>
      <w:r>
        <w:rPr/>
        <w:t>IPDAiT-2</w:t>
      </w:r>
      <w:r>
        <w:rPr>
          <w:spacing w:val="-3"/>
        </w:rPr>
        <w:t> </w:t>
      </w:r>
      <w:r>
        <w:rPr/>
        <w:t>=</w:t>
      </w:r>
      <w:r>
        <w:rPr>
          <w:spacing w:val="80"/>
        </w:rPr>
        <w:t> </w:t>
      </w:r>
      <w:r>
        <w:rPr/>
        <w:t>Recaudación local del predial y de los derechos de agua en el municipio i en el</w:t>
      </w:r>
      <w:r>
        <w:rPr>
          <w:spacing w:val="40"/>
        </w:rPr>
        <w:t> </w:t>
      </w:r>
      <w:r>
        <w:rPr/>
        <w:t>segundo año inmediato anterior para el cual se efectúa el cálculo.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31-12-1986,</w:t>
      </w:r>
      <w:r>
        <w:rPr>
          <w:rFonts w:ascii="Times New Roman" w:hAnsi="Times New Roman"/>
          <w:i/>
          <w:color w:val="0000FF"/>
          <w:spacing w:val="-7"/>
          <w:sz w:val="16"/>
        </w:rPr>
        <w:t> </w:t>
      </w:r>
      <w:r>
        <w:rPr>
          <w:rFonts w:ascii="Times New Roman" w:hAnsi="Times New Roman"/>
          <w:i/>
          <w:color w:val="0000FF"/>
          <w:sz w:val="16"/>
        </w:rPr>
        <w:t>29-12-</w:t>
      </w:r>
      <w:r>
        <w:rPr>
          <w:rFonts w:ascii="Times New Roman" w:hAnsi="Times New Roman"/>
          <w:i/>
          <w:color w:val="0000FF"/>
          <w:spacing w:val="-4"/>
          <w:sz w:val="16"/>
        </w:rPr>
        <w:t>1993</w:t>
      </w:r>
    </w:p>
    <w:p>
      <w:pPr>
        <w:pStyle w:val="BodyText"/>
        <w:spacing w:before="45"/>
        <w:rPr>
          <w:rFonts w:ascii="Times New Roman"/>
          <w:i/>
          <w:sz w:val="16"/>
        </w:rPr>
      </w:pPr>
    </w:p>
    <w:p>
      <w:pPr>
        <w:pStyle w:val="BodyText"/>
        <w:spacing w:line="242" w:lineRule="auto"/>
        <w:ind w:left="721" w:right="140" w:hanging="432"/>
        <w:jc w:val="both"/>
      </w:pPr>
      <w:r>
        <w:rPr>
          <w:rFonts w:ascii="Arial" w:hAnsi="Arial"/>
          <w:b/>
        </w:rPr>
        <w:t>II.-</w:t>
      </w:r>
      <w:r>
        <w:rPr>
          <w:rFonts w:ascii="Arial" w:hAnsi="Arial"/>
          <w:b/>
          <w:spacing w:val="80"/>
        </w:rPr>
        <w:t> </w:t>
      </w:r>
      <w:r>
        <w:rPr/>
        <w:t>La transferencia del Fondo Mexicano del Petróleo para la Estabilización y el Desarrollo que, en términos del artículo 92 de la Ley Federal de Presupuesto y Responsabilidad Hacendaria, se realice</w:t>
      </w:r>
      <w:r>
        <w:rPr>
          <w:spacing w:val="-2"/>
        </w:rPr>
        <w:t> </w:t>
      </w:r>
      <w:r>
        <w:rPr/>
        <w:t>a</w:t>
      </w:r>
      <w:r>
        <w:rPr>
          <w:spacing w:val="-2"/>
        </w:rPr>
        <w:t> </w:t>
      </w:r>
      <w:r>
        <w:rPr/>
        <w:t>los</w:t>
      </w:r>
      <w:r>
        <w:rPr>
          <w:spacing w:val="-1"/>
        </w:rPr>
        <w:t> </w:t>
      </w:r>
      <w:r>
        <w:rPr/>
        <w:t>municipios</w:t>
      </w:r>
      <w:r>
        <w:rPr>
          <w:spacing w:val="-1"/>
        </w:rPr>
        <w:t> </w:t>
      </w:r>
      <w:r>
        <w:rPr/>
        <w:t>colindantes</w:t>
      </w:r>
      <w:r>
        <w:rPr>
          <w:spacing w:val="-1"/>
        </w:rPr>
        <w:t> </w:t>
      </w:r>
      <w:r>
        <w:rPr/>
        <w:t>con</w:t>
      </w:r>
      <w:r>
        <w:rPr>
          <w:spacing w:val="-2"/>
        </w:rPr>
        <w:t> </w:t>
      </w:r>
      <w:r>
        <w:rPr/>
        <w:t>la</w:t>
      </w:r>
      <w:r>
        <w:rPr>
          <w:spacing w:val="-2"/>
        </w:rPr>
        <w:t> </w:t>
      </w:r>
      <w:r>
        <w:rPr/>
        <w:t>frontera</w:t>
      </w:r>
      <w:r>
        <w:rPr>
          <w:spacing w:val="-2"/>
        </w:rPr>
        <w:t> </w:t>
      </w:r>
      <w:r>
        <w:rPr/>
        <w:t>o</w:t>
      </w:r>
      <w:r>
        <w:rPr>
          <w:spacing w:val="-2"/>
        </w:rPr>
        <w:t> </w:t>
      </w:r>
      <w:r>
        <w:rPr/>
        <w:t>litorales</w:t>
      </w:r>
      <w:r>
        <w:rPr>
          <w:spacing w:val="-1"/>
        </w:rPr>
        <w:t> </w:t>
      </w:r>
      <w:r>
        <w:rPr/>
        <w:t>por los</w:t>
      </w:r>
      <w:r>
        <w:rPr>
          <w:spacing w:val="-1"/>
        </w:rPr>
        <w:t> </w:t>
      </w:r>
      <w:r>
        <w:rPr/>
        <w:t>que</w:t>
      </w:r>
      <w:r>
        <w:rPr>
          <w:spacing w:val="-2"/>
        </w:rPr>
        <w:t> </w:t>
      </w:r>
      <w:r>
        <w:rPr/>
        <w:t>se</w:t>
      </w:r>
      <w:r>
        <w:rPr>
          <w:spacing w:val="-2"/>
        </w:rPr>
        <w:t> </w:t>
      </w:r>
      <w:r>
        <w:rPr/>
        <w:t>realice</w:t>
      </w:r>
      <w:r>
        <w:rPr>
          <w:spacing w:val="-2"/>
        </w:rPr>
        <w:t> </w:t>
      </w:r>
      <w:r>
        <w:rPr/>
        <w:t>materialmente la salida del país de los hidrocarburos.</w:t>
      </w:r>
    </w:p>
    <w:p>
      <w:pPr>
        <w:pStyle w:val="BodyText"/>
        <w:spacing w:after="0" w:line="242" w:lineRule="auto"/>
        <w:jc w:val="both"/>
        <w:sectPr>
          <w:pgSz w:w="12250" w:h="15850"/>
          <w:pgMar w:header="724" w:footer="712" w:top="1880" w:bottom="900" w:left="1417" w:right="1275"/>
        </w:sectPr>
      </w:pPr>
    </w:p>
    <w:p>
      <w:pPr>
        <w:pStyle w:val="BodyText"/>
      </w:pPr>
    </w:p>
    <w:p>
      <w:pPr>
        <w:pStyle w:val="BodyText"/>
        <w:spacing w:before="68"/>
      </w:pPr>
    </w:p>
    <w:p>
      <w:pPr>
        <w:pStyle w:val="BodyText"/>
        <w:ind w:left="721" w:hanging="12"/>
      </w:pPr>
      <w:r>
        <w:rPr/>
        <w:t>La Comisión Nacional de Hidrocarburos informará mensualmente a la Secretaría de Hacienda y Crédito Público los montos y municipios a que se refiere el párrafo anterior.</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15-04-1982.</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6"/>
          <w:sz w:val="16"/>
        </w:rPr>
        <w:t> </w:t>
      </w:r>
      <w:r>
        <w:rPr>
          <w:rFonts w:ascii="Times New Roman" w:hAnsi="Times New Roman"/>
          <w:i/>
          <w:color w:val="0000FF"/>
          <w:sz w:val="16"/>
        </w:rPr>
        <w:t>31-12-1986,</w:t>
      </w:r>
      <w:r>
        <w:rPr>
          <w:rFonts w:ascii="Times New Roman" w:hAnsi="Times New Roman"/>
          <w:i/>
          <w:color w:val="0000FF"/>
          <w:spacing w:val="-6"/>
          <w:sz w:val="16"/>
        </w:rPr>
        <w:t> </w:t>
      </w:r>
      <w:r>
        <w:rPr>
          <w:rFonts w:ascii="Times New Roman" w:hAnsi="Times New Roman"/>
          <w:i/>
          <w:color w:val="0000FF"/>
          <w:sz w:val="16"/>
        </w:rPr>
        <w:t>03-12-1993,</w:t>
      </w:r>
      <w:r>
        <w:rPr>
          <w:rFonts w:ascii="Times New Roman" w:hAnsi="Times New Roman"/>
          <w:i/>
          <w:color w:val="0000FF"/>
          <w:spacing w:val="-7"/>
          <w:sz w:val="16"/>
        </w:rPr>
        <w:t> </w:t>
      </w:r>
      <w:r>
        <w:rPr>
          <w:rFonts w:ascii="Times New Roman" w:hAnsi="Times New Roman"/>
          <w:i/>
          <w:color w:val="0000FF"/>
          <w:sz w:val="16"/>
        </w:rPr>
        <w:t>29-12-1993,</w:t>
      </w:r>
      <w:r>
        <w:rPr>
          <w:rFonts w:ascii="Times New Roman" w:hAnsi="Times New Roman"/>
          <w:i/>
          <w:color w:val="0000FF"/>
          <w:spacing w:val="-4"/>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89"/>
      </w:pPr>
      <w:r>
        <w:rPr>
          <w:rFonts w:ascii="Arial" w:hAnsi="Arial"/>
          <w:b/>
        </w:rPr>
        <w:t>III.-</w:t>
      </w:r>
      <w:r>
        <w:rPr>
          <w:rFonts w:ascii="Arial" w:hAnsi="Arial"/>
          <w:b/>
          <w:spacing w:val="74"/>
        </w:rPr>
        <w:t> </w:t>
      </w:r>
      <w:r>
        <w:rPr/>
        <w:t>1%</w:t>
      </w:r>
      <w:r>
        <w:rPr>
          <w:spacing w:val="-7"/>
        </w:rPr>
        <w:t> </w:t>
      </w:r>
      <w:r>
        <w:rPr/>
        <w:t>de</w:t>
      </w:r>
      <w:r>
        <w:rPr>
          <w:spacing w:val="-6"/>
        </w:rPr>
        <w:t> </w:t>
      </w:r>
      <w:r>
        <w:rPr/>
        <w:t>la</w:t>
      </w:r>
      <w:r>
        <w:rPr>
          <w:spacing w:val="-7"/>
        </w:rPr>
        <w:t> </w:t>
      </w:r>
      <w:r>
        <w:rPr/>
        <w:t>recaudación</w:t>
      </w:r>
      <w:r>
        <w:rPr>
          <w:spacing w:val="-6"/>
        </w:rPr>
        <w:t> </w:t>
      </w:r>
      <w:r>
        <w:rPr/>
        <w:t>federal</w:t>
      </w:r>
      <w:r>
        <w:rPr>
          <w:spacing w:val="-8"/>
        </w:rPr>
        <w:t> </w:t>
      </w:r>
      <w:r>
        <w:rPr/>
        <w:t>participable,</w:t>
      </w:r>
      <w:r>
        <w:rPr>
          <w:spacing w:val="-5"/>
        </w:rPr>
        <w:t> </w:t>
      </w:r>
      <w:r>
        <w:rPr/>
        <w:t>en</w:t>
      </w:r>
      <w:r>
        <w:rPr>
          <w:spacing w:val="-5"/>
        </w:rPr>
        <w:t> </w:t>
      </w:r>
      <w:r>
        <w:rPr/>
        <w:t>la</w:t>
      </w:r>
      <w:r>
        <w:rPr>
          <w:spacing w:val="-7"/>
        </w:rPr>
        <w:t> </w:t>
      </w:r>
      <w:r>
        <w:rPr/>
        <w:t>siguiente</w:t>
      </w:r>
      <w:r>
        <w:rPr>
          <w:spacing w:val="-8"/>
        </w:rPr>
        <w:t> </w:t>
      </w:r>
      <w:r>
        <w:rPr>
          <w:spacing w:val="-2"/>
        </w:rPr>
        <w:t>forma:</w:t>
      </w:r>
    </w:p>
    <w:p>
      <w:pPr>
        <w:pStyle w:val="BodyText"/>
        <w:spacing w:before="1"/>
      </w:pPr>
    </w:p>
    <w:p>
      <w:pPr>
        <w:pStyle w:val="ListParagraph"/>
        <w:numPr>
          <w:ilvl w:val="0"/>
          <w:numId w:val="2"/>
        </w:numPr>
        <w:tabs>
          <w:tab w:pos="1153" w:val="left" w:leader="none"/>
        </w:tabs>
        <w:spacing w:line="240" w:lineRule="auto" w:before="0" w:after="0"/>
        <w:ind w:left="1153" w:right="0" w:hanging="432"/>
        <w:jc w:val="left"/>
        <w:rPr>
          <w:sz w:val="20"/>
        </w:rPr>
      </w:pPr>
      <w:r>
        <w:rPr>
          <w:sz w:val="20"/>
        </w:rPr>
        <w:t>El</w:t>
      </w:r>
      <w:r>
        <w:rPr>
          <w:spacing w:val="-5"/>
          <w:sz w:val="20"/>
        </w:rPr>
        <w:t> </w:t>
      </w:r>
      <w:r>
        <w:rPr>
          <w:sz w:val="20"/>
        </w:rPr>
        <w:t>16.8%</w:t>
      </w:r>
      <w:r>
        <w:rPr>
          <w:spacing w:val="-5"/>
          <w:sz w:val="20"/>
        </w:rPr>
        <w:t> </w:t>
      </w:r>
      <w:r>
        <w:rPr>
          <w:sz w:val="20"/>
        </w:rPr>
        <w:t>se</w:t>
      </w:r>
      <w:r>
        <w:rPr>
          <w:spacing w:val="-6"/>
          <w:sz w:val="20"/>
        </w:rPr>
        <w:t> </w:t>
      </w:r>
      <w:r>
        <w:rPr>
          <w:sz w:val="20"/>
        </w:rPr>
        <w:t>destinará</w:t>
      </w:r>
      <w:r>
        <w:rPr>
          <w:spacing w:val="-5"/>
          <w:sz w:val="20"/>
        </w:rPr>
        <w:t> </w:t>
      </w:r>
      <w:r>
        <w:rPr>
          <w:sz w:val="20"/>
        </w:rPr>
        <w:t>a</w:t>
      </w:r>
      <w:r>
        <w:rPr>
          <w:spacing w:val="-5"/>
          <w:sz w:val="20"/>
        </w:rPr>
        <w:t> </w:t>
      </w:r>
      <w:r>
        <w:rPr>
          <w:sz w:val="20"/>
        </w:rPr>
        <w:t>formar</w:t>
      </w:r>
      <w:r>
        <w:rPr>
          <w:spacing w:val="-6"/>
          <w:sz w:val="20"/>
        </w:rPr>
        <w:t> </w:t>
      </w:r>
      <w:r>
        <w:rPr>
          <w:sz w:val="20"/>
        </w:rPr>
        <w:t>un</w:t>
      </w:r>
      <w:r>
        <w:rPr>
          <w:spacing w:val="-5"/>
          <w:sz w:val="20"/>
        </w:rPr>
        <w:t> </w:t>
      </w:r>
      <w:r>
        <w:rPr>
          <w:sz w:val="20"/>
        </w:rPr>
        <w:t>Fondo</w:t>
      </w:r>
      <w:r>
        <w:rPr>
          <w:spacing w:val="-5"/>
          <w:sz w:val="20"/>
        </w:rPr>
        <w:t> </w:t>
      </w:r>
      <w:r>
        <w:rPr>
          <w:sz w:val="20"/>
        </w:rPr>
        <w:t>de</w:t>
      </w:r>
      <w:r>
        <w:rPr>
          <w:spacing w:val="-6"/>
          <w:sz w:val="20"/>
        </w:rPr>
        <w:t> </w:t>
      </w:r>
      <w:r>
        <w:rPr>
          <w:sz w:val="20"/>
        </w:rPr>
        <w:t>Fomento</w:t>
      </w:r>
      <w:r>
        <w:rPr>
          <w:spacing w:val="-3"/>
          <w:sz w:val="20"/>
        </w:rPr>
        <w:t> </w:t>
      </w:r>
      <w:r>
        <w:rPr>
          <w:spacing w:val="-2"/>
          <w:sz w:val="20"/>
        </w:rPr>
        <w:t>Municipal.</w:t>
      </w:r>
    </w:p>
    <w:p>
      <w:pPr>
        <w:pStyle w:val="ListParagraph"/>
        <w:numPr>
          <w:ilvl w:val="0"/>
          <w:numId w:val="2"/>
        </w:numPr>
        <w:tabs>
          <w:tab w:pos="1153" w:val="left" w:leader="none"/>
        </w:tabs>
        <w:spacing w:line="242" w:lineRule="auto" w:before="229" w:after="0"/>
        <w:ind w:left="1153" w:right="148" w:hanging="432"/>
        <w:jc w:val="both"/>
        <w:rPr>
          <w:sz w:val="20"/>
        </w:rPr>
      </w:pPr>
      <w:r>
        <w:rPr>
          <w:sz w:val="20"/>
        </w:rPr>
        <w:t>El 83.2% incrementará dicho Fondo de Fomento Municipal y sólo corresponderá a las entidades</w:t>
      </w:r>
      <w:r>
        <w:rPr>
          <w:spacing w:val="-1"/>
          <w:sz w:val="20"/>
        </w:rPr>
        <w:t> </w:t>
      </w:r>
      <w:r>
        <w:rPr>
          <w:sz w:val="20"/>
        </w:rPr>
        <w:t>que</w:t>
      </w:r>
      <w:r>
        <w:rPr>
          <w:spacing w:val="-3"/>
          <w:sz w:val="20"/>
        </w:rPr>
        <w:t> </w:t>
      </w:r>
      <w:r>
        <w:rPr>
          <w:sz w:val="20"/>
        </w:rPr>
        <w:t>se coordinen</w:t>
      </w:r>
      <w:r>
        <w:rPr>
          <w:spacing w:val="-2"/>
          <w:sz w:val="20"/>
        </w:rPr>
        <w:t> </w:t>
      </w:r>
      <w:r>
        <w:rPr>
          <w:sz w:val="20"/>
        </w:rPr>
        <w:t>en materia</w:t>
      </w:r>
      <w:r>
        <w:rPr>
          <w:spacing w:val="-2"/>
          <w:sz w:val="20"/>
        </w:rPr>
        <w:t> </w:t>
      </w:r>
      <w:r>
        <w:rPr>
          <w:sz w:val="20"/>
        </w:rPr>
        <w:t>de derechos, siempre</w:t>
      </w:r>
      <w:r>
        <w:rPr>
          <w:spacing w:val="-2"/>
          <w:sz w:val="20"/>
        </w:rPr>
        <w:t> </w:t>
      </w:r>
      <w:r>
        <w:rPr>
          <w:sz w:val="20"/>
        </w:rPr>
        <w:t>que</w:t>
      </w:r>
      <w:r>
        <w:rPr>
          <w:spacing w:val="-2"/>
          <w:sz w:val="20"/>
        </w:rPr>
        <w:t> </w:t>
      </w:r>
      <w:r>
        <w:rPr>
          <w:sz w:val="20"/>
        </w:rPr>
        <w:t>se ajusten estrictamente</w:t>
      </w:r>
      <w:r>
        <w:rPr>
          <w:spacing w:val="-2"/>
          <w:sz w:val="20"/>
        </w:rPr>
        <w:t> </w:t>
      </w:r>
      <w:r>
        <w:rPr>
          <w:sz w:val="20"/>
        </w:rPr>
        <w:t>a los lineamientos establecidos en el artículo 10-A de esta Ley.</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31-12-1986.</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28-12-1989,</w:t>
      </w:r>
      <w:r>
        <w:rPr>
          <w:rFonts w:ascii="Times New Roman" w:hAnsi="Times New Roman"/>
          <w:i/>
          <w:color w:val="0000FF"/>
          <w:spacing w:val="-9"/>
          <w:sz w:val="16"/>
        </w:rPr>
        <w:t> </w:t>
      </w:r>
      <w:r>
        <w:rPr>
          <w:rFonts w:ascii="Times New Roman" w:hAnsi="Times New Roman"/>
          <w:i/>
          <w:color w:val="0000FF"/>
          <w:sz w:val="16"/>
        </w:rPr>
        <w:t>26-12-1990,</w:t>
      </w:r>
      <w:r>
        <w:rPr>
          <w:rFonts w:ascii="Times New Roman" w:hAnsi="Times New Roman"/>
          <w:i/>
          <w:color w:val="0000FF"/>
          <w:spacing w:val="-9"/>
          <w:sz w:val="16"/>
        </w:rPr>
        <w:t> </w:t>
      </w:r>
      <w:r>
        <w:rPr>
          <w:rFonts w:ascii="Times New Roman" w:hAnsi="Times New Roman"/>
          <w:i/>
          <w:color w:val="0000FF"/>
          <w:sz w:val="16"/>
        </w:rPr>
        <w:t>03-12-1993,</w:t>
      </w:r>
      <w:r>
        <w:rPr>
          <w:rFonts w:ascii="Times New Roman" w:hAnsi="Times New Roman"/>
          <w:i/>
          <w:color w:val="0000FF"/>
          <w:spacing w:val="-9"/>
          <w:sz w:val="16"/>
        </w:rPr>
        <w:t> </w:t>
      </w:r>
      <w:r>
        <w:rPr>
          <w:rFonts w:ascii="Times New Roman" w:hAnsi="Times New Roman"/>
          <w:i/>
          <w:color w:val="0000FF"/>
          <w:sz w:val="16"/>
        </w:rPr>
        <w:t>15-12-</w:t>
      </w:r>
      <w:r>
        <w:rPr>
          <w:rFonts w:ascii="Times New Roman" w:hAnsi="Times New Roman"/>
          <w:i/>
          <w:color w:val="0000FF"/>
          <w:spacing w:val="-4"/>
          <w:sz w:val="16"/>
        </w:rPr>
        <w:t>1995</w:t>
      </w:r>
    </w:p>
    <w:p>
      <w:pPr>
        <w:pStyle w:val="BodyText"/>
        <w:spacing w:before="49"/>
        <w:rPr>
          <w:rFonts w:ascii="Times New Roman"/>
          <w:i/>
          <w:sz w:val="16"/>
        </w:rPr>
      </w:pPr>
    </w:p>
    <w:p>
      <w:pPr>
        <w:pStyle w:val="BodyText"/>
        <w:ind w:left="289"/>
      </w:pPr>
      <w:r>
        <w:rPr/>
        <w:t>El</w:t>
      </w:r>
      <w:r>
        <w:rPr>
          <w:spacing w:val="-8"/>
        </w:rPr>
        <w:t> </w:t>
      </w:r>
      <w:r>
        <w:rPr/>
        <w:t>Fondo</w:t>
      </w:r>
      <w:r>
        <w:rPr>
          <w:spacing w:val="-7"/>
        </w:rPr>
        <w:t> </w:t>
      </w:r>
      <w:r>
        <w:rPr/>
        <w:t>de</w:t>
      </w:r>
      <w:r>
        <w:rPr>
          <w:spacing w:val="-5"/>
        </w:rPr>
        <w:t> </w:t>
      </w:r>
      <w:r>
        <w:rPr/>
        <w:t>Fomento</w:t>
      </w:r>
      <w:r>
        <w:rPr>
          <w:spacing w:val="-8"/>
        </w:rPr>
        <w:t> </w:t>
      </w:r>
      <w:r>
        <w:rPr/>
        <w:t>Municipal</w:t>
      </w:r>
      <w:r>
        <w:rPr>
          <w:spacing w:val="-6"/>
        </w:rPr>
        <w:t> </w:t>
      </w:r>
      <w:r>
        <w:rPr/>
        <w:t>se</w:t>
      </w:r>
      <w:r>
        <w:rPr>
          <w:spacing w:val="-7"/>
        </w:rPr>
        <w:t> </w:t>
      </w:r>
      <w:r>
        <w:rPr/>
        <w:t>distribuirá</w:t>
      </w:r>
      <w:r>
        <w:rPr>
          <w:spacing w:val="-6"/>
        </w:rPr>
        <w:t> </w:t>
      </w:r>
      <w:r>
        <w:rPr/>
        <w:t>entre</w:t>
      </w:r>
      <w:r>
        <w:rPr>
          <w:spacing w:val="-5"/>
        </w:rPr>
        <w:t> </w:t>
      </w:r>
      <w:r>
        <w:rPr/>
        <w:t>las</w:t>
      </w:r>
      <w:r>
        <w:rPr>
          <w:spacing w:val="-4"/>
        </w:rPr>
        <w:t> </w:t>
      </w:r>
      <w:r>
        <w:rPr/>
        <w:t>entidades</w:t>
      </w:r>
      <w:r>
        <w:rPr>
          <w:spacing w:val="-6"/>
        </w:rPr>
        <w:t> </w:t>
      </w:r>
      <w:r>
        <w:rPr/>
        <w:t>conforme</w:t>
      </w:r>
      <w:r>
        <w:rPr>
          <w:spacing w:val="-7"/>
        </w:rPr>
        <w:t> </w:t>
      </w:r>
      <w:r>
        <w:rPr/>
        <w:t>a</w:t>
      </w:r>
      <w:r>
        <w:rPr>
          <w:spacing w:val="-8"/>
        </w:rPr>
        <w:t> </w:t>
      </w:r>
      <w:r>
        <w:rPr/>
        <w:t>la</w:t>
      </w:r>
      <w:r>
        <w:rPr>
          <w:spacing w:val="-7"/>
        </w:rPr>
        <w:t> </w:t>
      </w:r>
      <w:r>
        <w:rPr/>
        <w:t>fórmula</w:t>
      </w:r>
      <w:r>
        <w:rPr>
          <w:spacing w:val="-7"/>
        </w:rPr>
        <w:t> </w:t>
      </w:r>
      <w:r>
        <w:rPr>
          <w:spacing w:val="-2"/>
        </w:rPr>
        <w:t>siguiente:</w:t>
      </w:r>
    </w:p>
    <w:p>
      <w:pPr>
        <w:pStyle w:val="BodyText"/>
        <w:rPr>
          <w:sz w:val="18"/>
        </w:rPr>
      </w:pPr>
      <w:r>
        <w:rPr>
          <w:sz w:val="18"/>
        </w:rPr>
        <w:drawing>
          <wp:anchor distT="0" distB="0" distL="0" distR="0" allowOverlap="1" layoutInCell="1" locked="0" behindDoc="1" simplePos="0" relativeHeight="487592448">
            <wp:simplePos x="0" y="0"/>
            <wp:positionH relativeFrom="page">
              <wp:posOffset>2468879</wp:posOffset>
            </wp:positionH>
            <wp:positionV relativeFrom="paragraph">
              <wp:posOffset>146714</wp:posOffset>
            </wp:positionV>
            <wp:extent cx="2844060" cy="210883"/>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2844060" cy="210883"/>
                    </a:xfrm>
                    <a:prstGeom prst="rect">
                      <a:avLst/>
                    </a:prstGeom>
                  </pic:spPr>
                </pic:pic>
              </a:graphicData>
            </a:graphic>
          </wp:anchor>
        </w:drawing>
      </w:r>
      <w:r>
        <w:rPr>
          <w:sz w:val="18"/>
        </w:rPr>
        <w:drawing>
          <wp:anchor distT="0" distB="0" distL="0" distR="0" allowOverlap="1" layoutInCell="1" locked="0" behindDoc="1" simplePos="0" relativeHeight="487592960">
            <wp:simplePos x="0" y="0"/>
            <wp:positionH relativeFrom="page">
              <wp:posOffset>3337559</wp:posOffset>
            </wp:positionH>
            <wp:positionV relativeFrom="paragraph">
              <wp:posOffset>501679</wp:posOffset>
            </wp:positionV>
            <wp:extent cx="1104899" cy="723900"/>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8" cstate="print"/>
                    <a:stretch>
                      <a:fillRect/>
                    </a:stretch>
                  </pic:blipFill>
                  <pic:spPr>
                    <a:xfrm>
                      <a:off x="0" y="0"/>
                      <a:ext cx="1104899" cy="723900"/>
                    </a:xfrm>
                    <a:prstGeom prst="rect">
                      <a:avLst/>
                    </a:prstGeom>
                  </pic:spPr>
                </pic:pic>
              </a:graphicData>
            </a:graphic>
          </wp:anchor>
        </w:drawing>
      </w:r>
      <w:r>
        <w:rPr>
          <w:sz w:val="18"/>
        </w:rPr>
        <w:drawing>
          <wp:anchor distT="0" distB="0" distL="0" distR="0" allowOverlap="1" layoutInCell="1" locked="0" behindDoc="1" simplePos="0" relativeHeight="487593472">
            <wp:simplePos x="0" y="0"/>
            <wp:positionH relativeFrom="page">
              <wp:posOffset>3337559</wp:posOffset>
            </wp:positionH>
            <wp:positionV relativeFrom="paragraph">
              <wp:posOffset>1371629</wp:posOffset>
            </wp:positionV>
            <wp:extent cx="1104899" cy="388620"/>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9" cstate="print"/>
                    <a:stretch>
                      <a:fillRect/>
                    </a:stretch>
                  </pic:blipFill>
                  <pic:spPr>
                    <a:xfrm>
                      <a:off x="0" y="0"/>
                      <a:ext cx="1104899" cy="388620"/>
                    </a:xfrm>
                    <a:prstGeom prst="rect">
                      <a:avLst/>
                    </a:prstGeom>
                  </pic:spPr>
                </pic:pic>
              </a:graphicData>
            </a:graphic>
          </wp:anchor>
        </w:drawing>
      </w:r>
      <w:r>
        <w:rPr>
          <w:sz w:val="18"/>
        </w:rPr>
        <w:drawing>
          <wp:anchor distT="0" distB="0" distL="0" distR="0" allowOverlap="1" layoutInCell="1" locked="0" behindDoc="1" simplePos="0" relativeHeight="487593984">
            <wp:simplePos x="0" y="0"/>
            <wp:positionH relativeFrom="page">
              <wp:posOffset>3143885</wp:posOffset>
            </wp:positionH>
            <wp:positionV relativeFrom="paragraph">
              <wp:posOffset>1906934</wp:posOffset>
            </wp:positionV>
            <wp:extent cx="1485900" cy="411479"/>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10" cstate="print"/>
                    <a:stretch>
                      <a:fillRect/>
                    </a:stretch>
                  </pic:blipFill>
                  <pic:spPr>
                    <a:xfrm>
                      <a:off x="0" y="0"/>
                      <a:ext cx="1485900" cy="411479"/>
                    </a:xfrm>
                    <a:prstGeom prst="rect">
                      <a:avLst/>
                    </a:prstGeom>
                  </pic:spPr>
                </pic:pic>
              </a:graphicData>
            </a:graphic>
          </wp:anchor>
        </w:drawing>
      </w:r>
    </w:p>
    <w:p>
      <w:pPr>
        <w:pStyle w:val="BodyText"/>
        <w:spacing w:before="7"/>
        <w:rPr>
          <w:sz w:val="17"/>
        </w:rPr>
      </w:pPr>
    </w:p>
    <w:p>
      <w:pPr>
        <w:pStyle w:val="BodyText"/>
        <w:spacing w:before="10"/>
        <w:rPr>
          <w:sz w:val="17"/>
        </w:rPr>
      </w:pPr>
    </w:p>
    <w:p>
      <w:pPr>
        <w:pStyle w:val="BodyText"/>
        <w:rPr>
          <w:sz w:val="18"/>
        </w:rPr>
      </w:pPr>
    </w:p>
    <w:p>
      <w:pPr>
        <w:pStyle w:val="BodyText"/>
        <w:spacing w:before="1"/>
      </w:pPr>
    </w:p>
    <w:p>
      <w:pPr>
        <w:pStyle w:val="BodyText"/>
        <w:ind w:left="577"/>
      </w:pPr>
      <w:r>
        <w:rPr>
          <w:spacing w:val="-2"/>
        </w:rPr>
        <w:t>Donde:</w:t>
      </w:r>
    </w:p>
    <w:p>
      <w:pPr>
        <w:pStyle w:val="BodyText"/>
        <w:spacing w:before="228"/>
        <w:ind w:left="289" w:right="145" w:firstLine="299"/>
        <w:jc w:val="both"/>
      </w:pPr>
      <w:r>
        <w:rPr>
          <w:position w:val="-7"/>
        </w:rPr>
        <w:drawing>
          <wp:inline distT="0" distB="0" distL="0" distR="0">
            <wp:extent cx="241141" cy="190500"/>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1" cstate="print"/>
                    <a:stretch>
                      <a:fillRect/>
                    </a:stretch>
                  </pic:blipFill>
                  <pic:spPr>
                    <a:xfrm>
                      <a:off x="0" y="0"/>
                      <a:ext cx="241141" cy="190500"/>
                    </a:xfrm>
                    <a:prstGeom prst="rect">
                      <a:avLst/>
                    </a:prstGeom>
                  </pic:spPr>
                </pic:pic>
              </a:graphicData>
            </a:graphic>
          </wp:inline>
        </w:drawing>
      </w:r>
      <w:r>
        <w:rPr>
          <w:position w:val="-7"/>
        </w:rPr>
      </w:r>
      <w:r>
        <w:rPr>
          <w:rFonts w:ascii="Times New Roman" w:hAnsi="Times New Roman"/>
        </w:rPr>
        <w:t> </w:t>
      </w:r>
      <w:r>
        <w:rPr/>
        <w:t>es el coeficiente de distribución del 70% del excedente del Fondo de Fomento Municipal con respecto a 2013 de la entidad i en el año t en que se efectúa el cálculo.</w:t>
      </w:r>
    </w:p>
    <w:p>
      <w:pPr>
        <w:pStyle w:val="BodyText"/>
      </w:pPr>
    </w:p>
    <w:p>
      <w:pPr>
        <w:pStyle w:val="BodyText"/>
        <w:ind w:left="289" w:right="148" w:firstLine="299"/>
        <w:jc w:val="both"/>
      </w:pPr>
      <w:r>
        <w:rPr>
          <w:position w:val="-7"/>
        </w:rPr>
        <w:drawing>
          <wp:inline distT="0" distB="0" distL="0" distR="0">
            <wp:extent cx="307897" cy="19050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2" cstate="print"/>
                    <a:stretch>
                      <a:fillRect/>
                    </a:stretch>
                  </pic:blipFill>
                  <pic:spPr>
                    <a:xfrm>
                      <a:off x="0" y="0"/>
                      <a:ext cx="307897" cy="190500"/>
                    </a:xfrm>
                    <a:prstGeom prst="rect">
                      <a:avLst/>
                    </a:prstGeom>
                  </pic:spPr>
                </pic:pic>
              </a:graphicData>
            </a:graphic>
          </wp:inline>
        </w:drawing>
      </w:r>
      <w:r>
        <w:rPr>
          <w:position w:val="-7"/>
        </w:rPr>
      </w:r>
      <w:r>
        <w:rPr>
          <w:rFonts w:ascii="Times New Roman" w:hAnsi="Times New Roman"/>
        </w:rPr>
        <w:t> </w:t>
      </w:r>
      <w:r>
        <w:rPr/>
        <w:t>es el coeficiente de distribución del 30% del excedente del Fondo de Fomento Municipal con respecto a 2013 de la entidad i en el año t en que se efectúa el cálculo, siempre y cuando el gobierno de dicha entidad sea el responsable de la administración del impuesto predial por cuenta y orden del </w:t>
      </w:r>
      <w:r>
        <w:rPr>
          <w:spacing w:val="-2"/>
        </w:rPr>
        <w:t>municipio.</w:t>
      </w:r>
    </w:p>
    <w:p>
      <w:pPr>
        <w:pStyle w:val="BodyText"/>
        <w:spacing w:before="1"/>
      </w:pPr>
    </w:p>
    <w:p>
      <w:pPr>
        <w:pStyle w:val="BodyText"/>
        <w:ind w:left="289" w:right="142" w:firstLine="288"/>
        <w:jc w:val="both"/>
      </w:pPr>
      <w:r>
        <w:rPr/>
        <w:t>Para que un estado compruebe la existencia de la coordinación fiscal en el impuesto predial, se deberá haber celebrado un convenio con el municipio correspondiente y publicado en el medio de difusión oficial estatal, en el entendido de que la inexistencia o extinción de dicho convenio hará que</w:t>
      </w:r>
      <w:r>
        <w:rPr>
          <w:spacing w:val="40"/>
        </w:rPr>
        <w:t> </w:t>
      </w:r>
      <w:r>
        <w:rPr/>
        <w:t>se deje de ser elegible para la distribución de esta porción del Fondo.</w:t>
      </w:r>
    </w:p>
    <w:p>
      <w:pPr>
        <w:pStyle w:val="BodyText"/>
        <w:spacing w:before="227"/>
        <w:ind w:left="577"/>
      </w:pPr>
      <w:r>
        <w:rPr>
          <w:rFonts w:ascii="Arial" w:hAnsi="Arial"/>
          <w:b/>
        </w:rPr>
        <w:t>F</w:t>
      </w:r>
      <w:r>
        <w:rPr>
          <w:rFonts w:ascii="Arial" w:hAnsi="Arial"/>
          <w:b/>
          <w:position w:val="-3"/>
        </w:rPr>
        <w:t>i,t</w:t>
      </w:r>
      <w:r>
        <w:rPr>
          <w:rFonts w:ascii="Arial" w:hAnsi="Arial"/>
          <w:b/>
          <w:spacing w:val="-5"/>
          <w:position w:val="-3"/>
        </w:rPr>
        <w:t> </w:t>
      </w:r>
      <w:r>
        <w:rPr/>
        <w:t>es</w:t>
      </w:r>
      <w:r>
        <w:rPr>
          <w:spacing w:val="-5"/>
        </w:rPr>
        <w:t> </w:t>
      </w:r>
      <w:r>
        <w:rPr/>
        <w:t>la</w:t>
      </w:r>
      <w:r>
        <w:rPr>
          <w:spacing w:val="-4"/>
        </w:rPr>
        <w:t> </w:t>
      </w:r>
      <w:r>
        <w:rPr/>
        <w:t>participación</w:t>
      </w:r>
      <w:r>
        <w:rPr>
          <w:spacing w:val="-5"/>
        </w:rPr>
        <w:t> </w:t>
      </w:r>
      <w:r>
        <w:rPr/>
        <w:t>del</w:t>
      </w:r>
      <w:r>
        <w:rPr>
          <w:spacing w:val="-7"/>
        </w:rPr>
        <w:t> </w:t>
      </w:r>
      <w:r>
        <w:rPr/>
        <w:t>fondo</w:t>
      </w:r>
      <w:r>
        <w:rPr>
          <w:spacing w:val="-4"/>
        </w:rPr>
        <w:t> </w:t>
      </w:r>
      <w:r>
        <w:rPr/>
        <w:t>al</w:t>
      </w:r>
      <w:r>
        <w:rPr>
          <w:spacing w:val="-5"/>
        </w:rPr>
        <w:t> </w:t>
      </w:r>
      <w:r>
        <w:rPr/>
        <w:t>que</w:t>
      </w:r>
      <w:r>
        <w:rPr>
          <w:spacing w:val="-6"/>
        </w:rPr>
        <w:t> </w:t>
      </w:r>
      <w:r>
        <w:rPr/>
        <w:t>se</w:t>
      </w:r>
      <w:r>
        <w:rPr>
          <w:spacing w:val="-6"/>
        </w:rPr>
        <w:t> </w:t>
      </w:r>
      <w:r>
        <w:rPr/>
        <w:t>refiere</w:t>
      </w:r>
      <w:r>
        <w:rPr>
          <w:spacing w:val="-4"/>
        </w:rPr>
        <w:t> </w:t>
      </w:r>
      <w:r>
        <w:rPr/>
        <w:t>este</w:t>
      </w:r>
      <w:r>
        <w:rPr>
          <w:spacing w:val="-4"/>
        </w:rPr>
        <w:t> </w:t>
      </w:r>
      <w:r>
        <w:rPr/>
        <w:t>artículo</w:t>
      </w:r>
      <w:r>
        <w:rPr>
          <w:spacing w:val="-4"/>
        </w:rPr>
        <w:t> </w:t>
      </w:r>
      <w:r>
        <w:rPr/>
        <w:t>de</w:t>
      </w:r>
      <w:r>
        <w:rPr>
          <w:spacing w:val="-4"/>
        </w:rPr>
        <w:t> </w:t>
      </w:r>
      <w:r>
        <w:rPr/>
        <w:t>la</w:t>
      </w:r>
      <w:r>
        <w:rPr>
          <w:spacing w:val="-4"/>
        </w:rPr>
        <w:t> </w:t>
      </w:r>
      <w:r>
        <w:rPr/>
        <w:t>entidad</w:t>
      </w:r>
      <w:r>
        <w:rPr>
          <w:spacing w:val="-6"/>
        </w:rPr>
        <w:t> </w:t>
      </w:r>
      <w:r>
        <w:rPr/>
        <w:t>i</w:t>
      </w:r>
      <w:r>
        <w:rPr>
          <w:spacing w:val="-5"/>
        </w:rPr>
        <w:t> </w:t>
      </w:r>
      <w:r>
        <w:rPr/>
        <w:t>en</w:t>
      </w:r>
      <w:r>
        <w:rPr>
          <w:spacing w:val="-5"/>
        </w:rPr>
        <w:t> </w:t>
      </w:r>
      <w:r>
        <w:rPr/>
        <w:t>el</w:t>
      </w:r>
      <w:r>
        <w:rPr>
          <w:spacing w:val="-5"/>
        </w:rPr>
        <w:t> </w:t>
      </w:r>
      <w:r>
        <w:rPr/>
        <w:t>año</w:t>
      </w:r>
      <w:r>
        <w:rPr>
          <w:spacing w:val="-4"/>
        </w:rPr>
        <w:t> </w:t>
      </w:r>
      <w:r>
        <w:rPr>
          <w:spacing w:val="-5"/>
        </w:rPr>
        <w:t>t.</w:t>
      </w:r>
    </w:p>
    <w:p>
      <w:pPr>
        <w:pStyle w:val="BodyText"/>
        <w:spacing w:before="3"/>
      </w:pPr>
    </w:p>
    <w:p>
      <w:pPr>
        <w:pStyle w:val="BodyText"/>
        <w:ind w:left="289" w:firstLine="287"/>
      </w:pPr>
      <w:r>
        <w:rPr>
          <w:position w:val="-7"/>
        </w:rPr>
        <w:drawing>
          <wp:inline distT="0" distB="0" distL="0" distR="0">
            <wp:extent cx="294640" cy="190500"/>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3" cstate="print"/>
                    <a:stretch>
                      <a:fillRect/>
                    </a:stretch>
                  </pic:blipFill>
                  <pic:spPr>
                    <a:xfrm>
                      <a:off x="0" y="0"/>
                      <a:ext cx="294640" cy="190500"/>
                    </a:xfrm>
                    <a:prstGeom prst="rect">
                      <a:avLst/>
                    </a:prstGeom>
                  </pic:spPr>
                </pic:pic>
              </a:graphicData>
            </a:graphic>
          </wp:inline>
        </w:drawing>
      </w:r>
      <w:r>
        <w:rPr>
          <w:position w:val="-7"/>
        </w:rPr>
      </w:r>
      <w:r>
        <w:rPr>
          <w:rFonts w:ascii="Times New Roman" w:hAnsi="Times New Roman"/>
          <w:spacing w:val="17"/>
        </w:rPr>
        <w:t> </w:t>
      </w:r>
      <w:r>
        <w:rPr/>
        <w:t>es la participación del fondo al que se refiere este artículo que la entidad i recibió en el año </w:t>
      </w:r>
      <w:r>
        <w:rPr>
          <w:spacing w:val="-2"/>
        </w:rPr>
        <w:t>2013.</w:t>
      </w:r>
    </w:p>
    <w:p>
      <w:pPr>
        <w:pStyle w:val="BodyText"/>
        <w:spacing w:after="0"/>
        <w:sectPr>
          <w:pgSz w:w="12250" w:h="15850"/>
          <w:pgMar w:header="724" w:footer="712" w:top="1880" w:bottom="900" w:left="1417" w:right="1275"/>
        </w:sectPr>
      </w:pPr>
    </w:p>
    <w:p>
      <w:pPr>
        <w:pStyle w:val="BodyText"/>
        <w:spacing w:before="101"/>
      </w:pPr>
    </w:p>
    <w:p>
      <w:pPr>
        <w:pStyle w:val="BodyText"/>
        <w:ind w:left="1626"/>
      </w:pPr>
      <w:r>
        <w:rPr/>
        <w:drawing>
          <wp:anchor distT="0" distB="0" distL="0" distR="0" allowOverlap="1" layoutInCell="1" locked="0" behindDoc="0" simplePos="0" relativeHeight="15735296">
            <wp:simplePos x="0" y="0"/>
            <wp:positionH relativeFrom="page">
              <wp:posOffset>1266189</wp:posOffset>
            </wp:positionH>
            <wp:positionV relativeFrom="paragraph">
              <wp:posOffset>-20998</wp:posOffset>
            </wp:positionV>
            <wp:extent cx="631190" cy="190500"/>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4" cstate="print"/>
                    <a:stretch>
                      <a:fillRect/>
                    </a:stretch>
                  </pic:blipFill>
                  <pic:spPr>
                    <a:xfrm>
                      <a:off x="0" y="0"/>
                      <a:ext cx="631190" cy="190500"/>
                    </a:xfrm>
                    <a:prstGeom prst="rect">
                      <a:avLst/>
                    </a:prstGeom>
                  </pic:spPr>
                </pic:pic>
              </a:graphicData>
            </a:graphic>
          </wp:anchor>
        </w:drawing>
      </w:r>
      <w:r>
        <w:rPr/>
        <w:t>es</w:t>
      </w:r>
      <w:r>
        <w:rPr>
          <w:spacing w:val="-5"/>
        </w:rPr>
        <w:t> </w:t>
      </w:r>
      <w:r>
        <w:rPr/>
        <w:t>el</w:t>
      </w:r>
      <w:r>
        <w:rPr>
          <w:spacing w:val="-7"/>
        </w:rPr>
        <w:t> </w:t>
      </w:r>
      <w:r>
        <w:rPr/>
        <w:t>crecimiento</w:t>
      </w:r>
      <w:r>
        <w:rPr>
          <w:spacing w:val="-4"/>
        </w:rPr>
        <w:t> </w:t>
      </w:r>
      <w:r>
        <w:rPr/>
        <w:t>en</w:t>
      </w:r>
      <w:r>
        <w:rPr>
          <w:spacing w:val="-4"/>
        </w:rPr>
        <w:t> </w:t>
      </w:r>
      <w:r>
        <w:rPr/>
        <w:t>el</w:t>
      </w:r>
      <w:r>
        <w:rPr>
          <w:spacing w:val="-7"/>
        </w:rPr>
        <w:t> </w:t>
      </w:r>
      <w:r>
        <w:rPr/>
        <w:t>Fondo</w:t>
      </w:r>
      <w:r>
        <w:rPr>
          <w:spacing w:val="-6"/>
        </w:rPr>
        <w:t> </w:t>
      </w:r>
      <w:r>
        <w:rPr/>
        <w:t>de</w:t>
      </w:r>
      <w:r>
        <w:rPr>
          <w:spacing w:val="-6"/>
        </w:rPr>
        <w:t> </w:t>
      </w:r>
      <w:r>
        <w:rPr/>
        <w:t>Fomento</w:t>
      </w:r>
      <w:r>
        <w:rPr>
          <w:spacing w:val="-6"/>
        </w:rPr>
        <w:t> </w:t>
      </w:r>
      <w:r>
        <w:rPr/>
        <w:t>Municipal</w:t>
      </w:r>
      <w:r>
        <w:rPr>
          <w:spacing w:val="-7"/>
        </w:rPr>
        <w:t> </w:t>
      </w:r>
      <w:r>
        <w:rPr/>
        <w:t>entre</w:t>
      </w:r>
      <w:r>
        <w:rPr>
          <w:spacing w:val="-6"/>
        </w:rPr>
        <w:t> </w:t>
      </w:r>
      <w:r>
        <w:rPr/>
        <w:t>el</w:t>
      </w:r>
      <w:r>
        <w:rPr>
          <w:spacing w:val="-6"/>
        </w:rPr>
        <w:t> </w:t>
      </w:r>
      <w:r>
        <w:rPr/>
        <w:t>año</w:t>
      </w:r>
      <w:r>
        <w:rPr>
          <w:spacing w:val="-6"/>
        </w:rPr>
        <w:t> </w:t>
      </w:r>
      <w:r>
        <w:rPr/>
        <w:t>2013</w:t>
      </w:r>
      <w:r>
        <w:rPr>
          <w:spacing w:val="-2"/>
        </w:rPr>
        <w:t> </w:t>
      </w:r>
      <w:r>
        <w:rPr/>
        <w:t>y</w:t>
      </w:r>
      <w:r>
        <w:rPr>
          <w:spacing w:val="-6"/>
        </w:rPr>
        <w:t> </w:t>
      </w:r>
      <w:r>
        <w:rPr/>
        <w:t>el</w:t>
      </w:r>
      <w:r>
        <w:rPr>
          <w:spacing w:val="-5"/>
        </w:rPr>
        <w:t> </w:t>
      </w:r>
      <w:r>
        <w:rPr/>
        <w:t>periodo</w:t>
      </w:r>
      <w:r>
        <w:rPr>
          <w:spacing w:val="-6"/>
        </w:rPr>
        <w:t> </w:t>
      </w:r>
      <w:r>
        <w:rPr>
          <w:spacing w:val="-5"/>
        </w:rPr>
        <w:t>t.</w:t>
      </w:r>
    </w:p>
    <w:p>
      <w:pPr>
        <w:pStyle w:val="BodyText"/>
        <w:spacing w:before="36"/>
      </w:pPr>
    </w:p>
    <w:p>
      <w:pPr>
        <w:pStyle w:val="BodyText"/>
        <w:spacing w:before="1"/>
        <w:ind w:left="289" w:right="146" w:firstLine="287"/>
        <w:jc w:val="both"/>
      </w:pPr>
      <w:r>
        <w:rPr>
          <w:position w:val="-7"/>
        </w:rPr>
        <w:drawing>
          <wp:inline distT="0" distB="0" distL="0" distR="0">
            <wp:extent cx="219709" cy="190500"/>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5" cstate="print"/>
                    <a:stretch>
                      <a:fillRect/>
                    </a:stretch>
                  </pic:blipFill>
                  <pic:spPr>
                    <a:xfrm>
                      <a:off x="0" y="0"/>
                      <a:ext cx="219709" cy="190500"/>
                    </a:xfrm>
                    <a:prstGeom prst="rect">
                      <a:avLst/>
                    </a:prstGeom>
                  </pic:spPr>
                </pic:pic>
              </a:graphicData>
            </a:graphic>
          </wp:inline>
        </w:drawing>
      </w:r>
      <w:r>
        <w:rPr>
          <w:position w:val="-7"/>
        </w:rPr>
      </w:r>
      <w:r>
        <w:rPr>
          <w:rFonts w:ascii="Times New Roman" w:hAnsi="Times New Roman"/>
        </w:rPr>
        <w:t> </w:t>
      </w:r>
      <w:r>
        <w:rPr/>
        <w:t>es</w:t>
      </w:r>
      <w:r>
        <w:rPr>
          <w:spacing w:val="-2"/>
        </w:rPr>
        <w:t> </w:t>
      </w:r>
      <w:r>
        <w:rPr/>
        <w:t>la</w:t>
      </w:r>
      <w:r>
        <w:rPr>
          <w:spacing w:val="-3"/>
        </w:rPr>
        <w:t> </w:t>
      </w:r>
      <w:r>
        <w:rPr/>
        <w:t>recaudación</w:t>
      </w:r>
      <w:r>
        <w:rPr>
          <w:spacing w:val="-3"/>
        </w:rPr>
        <w:t> </w:t>
      </w:r>
      <w:r>
        <w:rPr/>
        <w:t>local</w:t>
      </w:r>
      <w:r>
        <w:rPr>
          <w:spacing w:val="-2"/>
        </w:rPr>
        <w:t> </w:t>
      </w:r>
      <w:r>
        <w:rPr/>
        <w:t>de</w:t>
      </w:r>
      <w:r>
        <w:rPr>
          <w:spacing w:val="-2"/>
        </w:rPr>
        <w:t> </w:t>
      </w:r>
      <w:r>
        <w:rPr/>
        <w:t>predial y</w:t>
      </w:r>
      <w:r>
        <w:rPr>
          <w:spacing w:val="-4"/>
        </w:rPr>
        <w:t> </w:t>
      </w:r>
      <w:r>
        <w:rPr/>
        <w:t>de</w:t>
      </w:r>
      <w:r>
        <w:rPr>
          <w:spacing w:val="-2"/>
        </w:rPr>
        <w:t> </w:t>
      </w:r>
      <w:r>
        <w:rPr/>
        <w:t>los</w:t>
      </w:r>
      <w:r>
        <w:rPr>
          <w:spacing w:val="-2"/>
        </w:rPr>
        <w:t> </w:t>
      </w:r>
      <w:r>
        <w:rPr/>
        <w:t>derechos</w:t>
      </w:r>
      <w:r>
        <w:rPr>
          <w:spacing w:val="-2"/>
        </w:rPr>
        <w:t> </w:t>
      </w:r>
      <w:r>
        <w:rPr/>
        <w:t>de</w:t>
      </w:r>
      <w:r>
        <w:rPr>
          <w:spacing w:val="-3"/>
        </w:rPr>
        <w:t> </w:t>
      </w:r>
      <w:r>
        <w:rPr/>
        <w:t>agua,</w:t>
      </w:r>
      <w:r>
        <w:rPr>
          <w:spacing w:val="-1"/>
        </w:rPr>
        <w:t> </w:t>
      </w:r>
      <w:r>
        <w:rPr/>
        <w:t>que</w:t>
      </w:r>
      <w:r>
        <w:rPr>
          <w:spacing w:val="-1"/>
        </w:rPr>
        <w:t> </w:t>
      </w:r>
      <w:r>
        <w:rPr/>
        <w:t>registren</w:t>
      </w:r>
      <w:r>
        <w:rPr>
          <w:spacing w:val="-4"/>
        </w:rPr>
        <w:t> </w:t>
      </w:r>
      <w:r>
        <w:rPr/>
        <w:t>un</w:t>
      </w:r>
      <w:r>
        <w:rPr>
          <w:spacing w:val="-3"/>
        </w:rPr>
        <w:t> </w:t>
      </w:r>
      <w:r>
        <w:rPr/>
        <w:t>flujo</w:t>
      </w:r>
      <w:r>
        <w:rPr>
          <w:spacing w:val="-3"/>
        </w:rPr>
        <w:t> </w:t>
      </w:r>
      <w:r>
        <w:rPr/>
        <w:t>de</w:t>
      </w:r>
      <w:r>
        <w:rPr>
          <w:spacing w:val="-3"/>
        </w:rPr>
        <w:t> </w:t>
      </w:r>
      <w:r>
        <w:rPr/>
        <w:t>efectivo, de la entidad i en el año t, reportada en los formatos que emita la Secretaría de Hacienda y Crédito </w:t>
      </w:r>
      <w:r>
        <w:rPr>
          <w:spacing w:val="-2"/>
        </w:rPr>
        <w:t>Público.</w:t>
      </w:r>
    </w:p>
    <w:p>
      <w:pPr>
        <w:pStyle w:val="BodyText"/>
        <w:spacing w:before="229"/>
        <w:ind w:left="577"/>
      </w:pPr>
      <w:r>
        <w:rPr>
          <w:position w:val="-7"/>
        </w:rPr>
        <w:drawing>
          <wp:inline distT="0" distB="0" distL="0" distR="0">
            <wp:extent cx="181609" cy="190500"/>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6" cstate="print"/>
                    <a:stretch>
                      <a:fillRect/>
                    </a:stretch>
                  </pic:blipFill>
                  <pic:spPr>
                    <a:xfrm>
                      <a:off x="0" y="0"/>
                      <a:ext cx="181609" cy="190500"/>
                    </a:xfrm>
                    <a:prstGeom prst="rect">
                      <a:avLst/>
                    </a:prstGeom>
                  </pic:spPr>
                </pic:pic>
              </a:graphicData>
            </a:graphic>
          </wp:inline>
        </w:drawing>
      </w:r>
      <w:r>
        <w:rPr>
          <w:position w:val="-7"/>
        </w:rPr>
      </w:r>
      <w:r>
        <w:rPr>
          <w:rFonts w:ascii="Times New Roman" w:hAnsi="Times New Roman"/>
        </w:rPr>
        <w:t> </w:t>
      </w:r>
      <w:r>
        <w:rPr/>
        <w:t>es</w:t>
      </w:r>
      <w:r>
        <w:rPr>
          <w:spacing w:val="-4"/>
        </w:rPr>
        <w:t> </w:t>
      </w:r>
      <w:r>
        <w:rPr/>
        <w:t>el</w:t>
      </w:r>
      <w:r>
        <w:rPr>
          <w:spacing w:val="-4"/>
        </w:rPr>
        <w:t> </w:t>
      </w:r>
      <w:r>
        <w:rPr/>
        <w:t>valor</w:t>
      </w:r>
      <w:r>
        <w:rPr>
          <w:spacing w:val="-5"/>
        </w:rPr>
        <w:t> </w:t>
      </w:r>
      <w:r>
        <w:rPr/>
        <w:t>mínimo</w:t>
      </w:r>
      <w:r>
        <w:rPr>
          <w:spacing w:val="-5"/>
        </w:rPr>
        <w:t> </w:t>
      </w:r>
      <w:r>
        <w:rPr/>
        <w:t>entre</w:t>
      </w:r>
      <w:r>
        <w:rPr>
          <w:spacing w:val="-5"/>
        </w:rPr>
        <w:t> </w:t>
      </w:r>
      <w:r>
        <w:rPr/>
        <w:t>el</w:t>
      </w:r>
      <w:r>
        <w:rPr>
          <w:spacing w:val="-4"/>
        </w:rPr>
        <w:t> </w:t>
      </w:r>
      <w:r>
        <w:rPr/>
        <w:t>resultado</w:t>
      </w:r>
      <w:r>
        <w:rPr>
          <w:spacing w:val="-6"/>
        </w:rPr>
        <w:t> </w:t>
      </w:r>
      <w:r>
        <w:rPr/>
        <w:t>del</w:t>
      </w:r>
      <w:r>
        <w:rPr>
          <w:spacing w:val="-4"/>
        </w:rPr>
        <w:t> </w:t>
      </w:r>
      <w:r>
        <w:rPr/>
        <w:t>cociente </w:t>
      </w:r>
      <w:r>
        <w:rPr>
          <w:spacing w:val="5"/>
          <w:position w:val="-17"/>
        </w:rPr>
        <w:drawing>
          <wp:inline distT="0" distB="0" distL="0" distR="0">
            <wp:extent cx="362585" cy="294004"/>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362585" cy="294004"/>
                    </a:xfrm>
                    <a:prstGeom prst="rect">
                      <a:avLst/>
                    </a:prstGeom>
                  </pic:spPr>
                </pic:pic>
              </a:graphicData>
            </a:graphic>
          </wp:inline>
        </w:drawing>
      </w:r>
      <w:r>
        <w:rPr>
          <w:spacing w:val="5"/>
          <w:position w:val="-17"/>
        </w:rPr>
      </w:r>
      <w:r>
        <w:rPr>
          <w:rFonts w:ascii="Times New Roman" w:hAnsi="Times New Roman"/>
        </w:rPr>
        <w:t> </w:t>
      </w:r>
      <w:r>
        <w:rPr/>
        <w:t>y</w:t>
      </w:r>
      <w:r>
        <w:rPr>
          <w:spacing w:val="-7"/>
        </w:rPr>
        <w:t> </w:t>
      </w:r>
      <w:r>
        <w:rPr/>
        <w:t>el</w:t>
      </w:r>
      <w:r>
        <w:rPr>
          <w:spacing w:val="-4"/>
        </w:rPr>
        <w:t> </w:t>
      </w:r>
      <w:r>
        <w:rPr/>
        <w:t>número</w:t>
      </w:r>
      <w:r>
        <w:rPr>
          <w:spacing w:val="-5"/>
        </w:rPr>
        <w:t> </w:t>
      </w:r>
      <w:r>
        <w:rPr/>
        <w:t>2.</w:t>
      </w:r>
    </w:p>
    <w:p>
      <w:pPr>
        <w:pStyle w:val="BodyText"/>
        <w:spacing w:before="1"/>
      </w:pPr>
    </w:p>
    <w:p>
      <w:pPr>
        <w:pStyle w:val="BodyText"/>
        <w:ind w:left="289" w:right="148" w:firstLine="287"/>
        <w:jc w:val="both"/>
      </w:pPr>
      <w:r>
        <w:rPr>
          <w:position w:val="-7"/>
        </w:rPr>
        <w:drawing>
          <wp:inline distT="0" distB="0" distL="0" distR="0">
            <wp:extent cx="315595" cy="190500"/>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8" cstate="print"/>
                    <a:stretch>
                      <a:fillRect/>
                    </a:stretch>
                  </pic:blipFill>
                  <pic:spPr>
                    <a:xfrm>
                      <a:off x="0" y="0"/>
                      <a:ext cx="315595" cy="190500"/>
                    </a:xfrm>
                    <a:prstGeom prst="rect">
                      <a:avLst/>
                    </a:prstGeom>
                  </pic:spPr>
                </pic:pic>
              </a:graphicData>
            </a:graphic>
          </wp:inline>
        </w:drawing>
      </w:r>
      <w:r>
        <w:rPr>
          <w:position w:val="-7"/>
        </w:rPr>
      </w:r>
      <w:r>
        <w:rPr/>
        <w:t>es la suma de la recaudación de predial en los municipios que hayan convenido la coordinación del cobro de dicho impuesto con la entidad i en el año t y que registren un flujo de efectivo,</w:t>
      </w:r>
      <w:r>
        <w:rPr>
          <w:spacing w:val="-2"/>
        </w:rPr>
        <w:t> </w:t>
      </w:r>
      <w:r>
        <w:rPr/>
        <w:t>o</w:t>
      </w:r>
      <w:r>
        <w:rPr>
          <w:spacing w:val="-2"/>
        </w:rPr>
        <w:t> </w:t>
      </w:r>
      <w:r>
        <w:rPr/>
        <w:t>de las</w:t>
      </w:r>
      <w:r>
        <w:rPr>
          <w:spacing w:val="-3"/>
        </w:rPr>
        <w:t> </w:t>
      </w:r>
      <w:r>
        <w:rPr/>
        <w:t>demarcaciones</w:t>
      </w:r>
      <w:r>
        <w:rPr>
          <w:spacing w:val="-3"/>
        </w:rPr>
        <w:t> </w:t>
      </w:r>
      <w:r>
        <w:rPr/>
        <w:t>territoriales</w:t>
      </w:r>
      <w:r>
        <w:rPr>
          <w:spacing w:val="-1"/>
        </w:rPr>
        <w:t> </w:t>
      </w:r>
      <w:r>
        <w:rPr/>
        <w:t>del</w:t>
      </w:r>
      <w:r>
        <w:rPr>
          <w:spacing w:val="-5"/>
        </w:rPr>
        <w:t> </w:t>
      </w:r>
      <w:r>
        <w:rPr/>
        <w:t>Distrito</w:t>
      </w:r>
      <w:r>
        <w:rPr>
          <w:spacing w:val="-4"/>
        </w:rPr>
        <w:t> </w:t>
      </w:r>
      <w:r>
        <w:rPr/>
        <w:t>Federal</w:t>
      </w:r>
      <w:r>
        <w:rPr>
          <w:spacing w:val="-2"/>
        </w:rPr>
        <w:t> </w:t>
      </w:r>
      <w:r>
        <w:rPr/>
        <w:t>en</w:t>
      </w:r>
      <w:r>
        <w:rPr>
          <w:spacing w:val="-4"/>
        </w:rPr>
        <w:t> </w:t>
      </w:r>
      <w:r>
        <w:rPr/>
        <w:t>su</w:t>
      </w:r>
      <w:r>
        <w:rPr>
          <w:spacing w:val="-2"/>
        </w:rPr>
        <w:t> </w:t>
      </w:r>
      <w:r>
        <w:rPr/>
        <w:t>caso,</w:t>
      </w:r>
      <w:r>
        <w:rPr>
          <w:spacing w:val="-2"/>
        </w:rPr>
        <w:t> </w:t>
      </w:r>
      <w:r>
        <w:rPr/>
        <w:t>reportada</w:t>
      </w:r>
      <w:r>
        <w:rPr>
          <w:spacing w:val="-2"/>
        </w:rPr>
        <w:t> </w:t>
      </w:r>
      <w:r>
        <w:rPr/>
        <w:t>en</w:t>
      </w:r>
      <w:r>
        <w:rPr>
          <w:spacing w:val="-2"/>
        </w:rPr>
        <w:t> </w:t>
      </w:r>
      <w:r>
        <w:rPr/>
        <w:t>los</w:t>
      </w:r>
      <w:r>
        <w:rPr>
          <w:spacing w:val="-3"/>
        </w:rPr>
        <w:t> </w:t>
      </w:r>
      <w:r>
        <w:rPr/>
        <w:t>formatos que emita la Secretaría de Hacienda y Crédito Público.</w:t>
      </w:r>
    </w:p>
    <w:p>
      <w:pPr>
        <w:pStyle w:val="BodyText"/>
        <w:spacing w:line="242" w:lineRule="auto" w:before="229"/>
        <w:ind w:left="289" w:right="152" w:firstLine="287"/>
        <w:jc w:val="both"/>
      </w:pPr>
      <w:r>
        <w:rPr>
          <w:position w:val="-5"/>
        </w:rPr>
        <w:drawing>
          <wp:inline distT="0" distB="0" distL="0" distR="0">
            <wp:extent cx="143509" cy="170814"/>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9" cstate="print"/>
                    <a:stretch>
                      <a:fillRect/>
                    </a:stretch>
                  </pic:blipFill>
                  <pic:spPr>
                    <a:xfrm>
                      <a:off x="0" y="0"/>
                      <a:ext cx="143509" cy="170814"/>
                    </a:xfrm>
                    <a:prstGeom prst="rect">
                      <a:avLst/>
                    </a:prstGeom>
                  </pic:spPr>
                </pic:pic>
              </a:graphicData>
            </a:graphic>
          </wp:inline>
        </w:drawing>
      </w:r>
      <w:r>
        <w:rPr>
          <w:position w:val="-5"/>
        </w:rPr>
      </w:r>
      <w:r>
        <w:rPr>
          <w:rFonts w:ascii="Times New Roman" w:hAnsi="Times New Roman"/>
        </w:rPr>
        <w:t> </w:t>
      </w:r>
      <w:r>
        <w:rPr/>
        <w:t>es la última información oficial de población que hubiere dado a conocer el Instituto Nacional de Estadística y Geografía para la entidad i.</w:t>
      </w:r>
    </w:p>
    <w:p>
      <w:pPr>
        <w:pStyle w:val="BodyText"/>
        <w:spacing w:line="242" w:lineRule="auto" w:before="225"/>
        <w:ind w:left="289" w:right="149" w:firstLine="287"/>
        <w:jc w:val="both"/>
      </w:pPr>
      <w:r>
        <w:rPr>
          <w:position w:val="-5"/>
        </w:rPr>
        <w:drawing>
          <wp:inline distT="0" distB="0" distL="0" distR="0">
            <wp:extent cx="219709" cy="170814"/>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0" cstate="print"/>
                    <a:stretch>
                      <a:fillRect/>
                    </a:stretch>
                  </pic:blipFill>
                  <pic:spPr>
                    <a:xfrm>
                      <a:off x="0" y="0"/>
                      <a:ext cx="219709" cy="170814"/>
                    </a:xfrm>
                    <a:prstGeom prst="rect">
                      <a:avLst/>
                    </a:prstGeom>
                  </pic:spPr>
                </pic:pic>
              </a:graphicData>
            </a:graphic>
          </wp:inline>
        </w:drawing>
      </w:r>
      <w:r>
        <w:rPr>
          <w:position w:val="-5"/>
        </w:rPr>
      </w:r>
      <w:r>
        <w:rPr>
          <w:rFonts w:ascii="Times New Roman" w:hAnsi="Times New Roman"/>
        </w:rPr>
        <w:t> </w:t>
      </w:r>
      <w:r>
        <w:rPr/>
        <w:t>es la última información oficial de población que hubiere dado a conocer el Instituto Nacional de</w:t>
      </w:r>
      <w:r>
        <w:rPr>
          <w:spacing w:val="-4"/>
        </w:rPr>
        <w:t> </w:t>
      </w:r>
      <w:r>
        <w:rPr/>
        <w:t>Estadística</w:t>
      </w:r>
      <w:r>
        <w:rPr>
          <w:spacing w:val="-1"/>
        </w:rPr>
        <w:t> </w:t>
      </w:r>
      <w:r>
        <w:rPr/>
        <w:t>y</w:t>
      </w:r>
      <w:r>
        <w:rPr>
          <w:spacing w:val="-6"/>
        </w:rPr>
        <w:t> </w:t>
      </w:r>
      <w:r>
        <w:rPr/>
        <w:t>Geografía</w:t>
      </w:r>
      <w:r>
        <w:rPr>
          <w:spacing w:val="-4"/>
        </w:rPr>
        <w:t> </w:t>
      </w:r>
      <w:r>
        <w:rPr/>
        <w:t>de</w:t>
      </w:r>
      <w:r>
        <w:rPr>
          <w:spacing w:val="-4"/>
        </w:rPr>
        <w:t> </w:t>
      </w:r>
      <w:r>
        <w:rPr/>
        <w:t>los</w:t>
      </w:r>
      <w:r>
        <w:rPr>
          <w:spacing w:val="-2"/>
        </w:rPr>
        <w:t> </w:t>
      </w:r>
      <w:r>
        <w:rPr/>
        <w:t>municipios</w:t>
      </w:r>
      <w:r>
        <w:rPr>
          <w:spacing w:val="-2"/>
        </w:rPr>
        <w:t> </w:t>
      </w:r>
      <w:r>
        <w:rPr/>
        <w:t>que</w:t>
      </w:r>
      <w:r>
        <w:rPr>
          <w:spacing w:val="-3"/>
        </w:rPr>
        <w:t> </w:t>
      </w:r>
      <w:r>
        <w:rPr/>
        <w:t>hayan</w:t>
      </w:r>
      <w:r>
        <w:rPr>
          <w:spacing w:val="-3"/>
        </w:rPr>
        <w:t> </w:t>
      </w:r>
      <w:r>
        <w:rPr/>
        <w:t>convenido</w:t>
      </w:r>
      <w:r>
        <w:rPr>
          <w:spacing w:val="-1"/>
        </w:rPr>
        <w:t> </w:t>
      </w:r>
      <w:r>
        <w:rPr/>
        <w:t>la</w:t>
      </w:r>
      <w:r>
        <w:rPr>
          <w:spacing w:val="-3"/>
        </w:rPr>
        <w:t> </w:t>
      </w:r>
      <w:r>
        <w:rPr/>
        <w:t>coordinación</w:t>
      </w:r>
      <w:r>
        <w:rPr>
          <w:spacing w:val="-3"/>
        </w:rPr>
        <w:t> </w:t>
      </w:r>
      <w:r>
        <w:rPr/>
        <w:t>del</w:t>
      </w:r>
      <w:r>
        <w:rPr>
          <w:spacing w:val="-4"/>
        </w:rPr>
        <w:t> </w:t>
      </w:r>
      <w:r>
        <w:rPr/>
        <w:t>cobro</w:t>
      </w:r>
      <w:r>
        <w:rPr>
          <w:spacing w:val="-1"/>
        </w:rPr>
        <w:t> </w:t>
      </w:r>
      <w:r>
        <w:rPr/>
        <w:t>de</w:t>
      </w:r>
      <w:r>
        <w:rPr>
          <w:spacing w:val="-2"/>
        </w:rPr>
        <w:t> </w:t>
      </w:r>
      <w:r>
        <w:rPr/>
        <w:t>predial para la entidad i.</w:t>
      </w:r>
    </w:p>
    <w:p>
      <w:pPr>
        <w:spacing w:line="176" w:lineRule="exact" w:before="0"/>
        <w:ind w:left="0" w:right="137"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30-12-1983.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28-12-1989.</w:t>
      </w:r>
      <w:r>
        <w:rPr>
          <w:rFonts w:ascii="Times New Roman" w:hAnsi="Times New Roman"/>
          <w:i/>
          <w:color w:val="0000FF"/>
          <w:spacing w:val="-8"/>
          <w:sz w:val="16"/>
        </w:rPr>
        <w:t> </w:t>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“fórmula”</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26-12-1990,</w:t>
      </w:r>
      <w:r>
        <w:rPr>
          <w:rFonts w:ascii="Times New Roman" w:hAnsi="Times New Roman"/>
          <w:i/>
          <w:color w:val="0000FF"/>
          <w:spacing w:val="-7"/>
          <w:sz w:val="16"/>
        </w:rPr>
        <w:t> </w:t>
      </w:r>
      <w:r>
        <w:rPr>
          <w:rFonts w:ascii="Times New Roman" w:hAnsi="Times New Roman"/>
          <w:i/>
          <w:color w:val="0000FF"/>
          <w:sz w:val="16"/>
        </w:rPr>
        <w:t>21-12-</w:t>
      </w:r>
      <w:r>
        <w:rPr>
          <w:rFonts w:ascii="Times New Roman" w:hAnsi="Times New Roman"/>
          <w:i/>
          <w:color w:val="0000FF"/>
          <w:spacing w:val="-2"/>
          <w:sz w:val="16"/>
        </w:rPr>
        <w:t>2007,</w:t>
      </w:r>
    </w:p>
    <w:p>
      <w:pPr>
        <w:spacing w:before="1"/>
        <w:ind w:left="0" w:right="138" w:firstLine="0"/>
        <w:jc w:val="right"/>
        <w:rPr>
          <w:rFonts w:ascii="Times New Roman"/>
          <w:i/>
          <w:sz w:val="16"/>
        </w:rPr>
      </w:pPr>
      <w:r>
        <w:rPr>
          <w:rFonts w:ascii="Times New Roman"/>
          <w:i/>
          <w:color w:val="0000FF"/>
          <w:spacing w:val="-2"/>
          <w:sz w:val="16"/>
        </w:rPr>
        <w:t>09-12-</w:t>
      </w:r>
      <w:r>
        <w:rPr>
          <w:rFonts w:ascii="Times New Roman"/>
          <w:i/>
          <w:color w:val="0000FF"/>
          <w:spacing w:val="-4"/>
          <w:sz w:val="16"/>
        </w:rPr>
        <w:t>2013</w:t>
      </w:r>
    </w:p>
    <w:p>
      <w:pPr>
        <w:pStyle w:val="BodyText"/>
        <w:spacing w:before="49"/>
        <w:rPr>
          <w:rFonts w:ascii="Times New Roman"/>
          <w:i/>
          <w:sz w:val="16"/>
        </w:rPr>
      </w:pPr>
    </w:p>
    <w:p>
      <w:pPr>
        <w:pStyle w:val="BodyText"/>
        <w:ind w:left="1" w:right="141" w:firstLine="288"/>
        <w:jc w:val="both"/>
      </w:pPr>
      <w:r>
        <w:rPr/>
        <w:t>Los Estados entregarán íntegramente a sus municipios las cantidades que reciban del Fondo de Fomento Municipal, de acuerdo con lo que establezcan las legislaturas locales, garantizando que no sea menor a lo recaudado por los conceptos que se dejan de recibir por la coordinación en materia de </w:t>
      </w:r>
      <w:r>
        <w:rPr>
          <w:spacing w:val="-2"/>
        </w:rPr>
        <w:t>derechos.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26-12-</w:t>
      </w:r>
      <w:r>
        <w:rPr>
          <w:rFonts w:ascii="Times New Roman" w:hAnsi="Times New Roman"/>
          <w:i/>
          <w:color w:val="0000FF"/>
          <w:spacing w:val="-4"/>
          <w:sz w:val="16"/>
        </w:rPr>
        <w:t>1990</w:t>
      </w:r>
    </w:p>
    <w:p>
      <w:pPr>
        <w:pStyle w:val="BodyText"/>
        <w:spacing w:before="47"/>
        <w:rPr>
          <w:rFonts w:ascii="Times New Roman"/>
          <w:i/>
          <w:sz w:val="16"/>
        </w:rPr>
      </w:pPr>
    </w:p>
    <w:p>
      <w:pPr>
        <w:pStyle w:val="BodyText"/>
        <w:ind w:left="1" w:firstLine="288"/>
      </w:pPr>
      <w:r>
        <w:rPr/>
        <w:t>Las cantidades que correspondan a los municipios en los términos de las fracciones I y II, se pagarán por la Federación directamente a dichos municipios.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1986</w:t>
      </w:r>
    </w:p>
    <w:p>
      <w:pPr>
        <w:pStyle w:val="BodyText"/>
        <w:spacing w:before="47"/>
        <w:rPr>
          <w:rFonts w:ascii="Times New Roman"/>
          <w:i/>
          <w:sz w:val="16"/>
        </w:rPr>
      </w:pPr>
    </w:p>
    <w:p>
      <w:pPr>
        <w:pStyle w:val="BodyText"/>
        <w:ind w:left="1" w:right="141" w:firstLine="288"/>
        <w:jc w:val="both"/>
      </w:pPr>
      <w:r>
        <w:rPr/>
        <w:t>La fórmula del Fondo de Fomento Municipal no será aplicable en el evento de que en el año que se calcula, el monto de dicho Fondo sea inferior al obtenido en el año 2013. En dicho supuesto, la distribución</w:t>
      </w:r>
      <w:r>
        <w:rPr>
          <w:spacing w:val="-1"/>
        </w:rPr>
        <w:t> </w:t>
      </w:r>
      <w:r>
        <w:rPr/>
        <w:t>se</w:t>
      </w:r>
      <w:r>
        <w:rPr>
          <w:spacing w:val="-1"/>
        </w:rPr>
        <w:t> </w:t>
      </w:r>
      <w:r>
        <w:rPr/>
        <w:t>realizará</w:t>
      </w:r>
      <w:r>
        <w:rPr>
          <w:spacing w:val="-1"/>
        </w:rPr>
        <w:t> </w:t>
      </w:r>
      <w:r>
        <w:rPr/>
        <w:t>en relación</w:t>
      </w:r>
      <w:r>
        <w:rPr>
          <w:spacing w:val="-2"/>
        </w:rPr>
        <w:t> </w:t>
      </w:r>
      <w:r>
        <w:rPr/>
        <w:t>con</w:t>
      </w:r>
      <w:r>
        <w:rPr>
          <w:spacing w:val="-2"/>
        </w:rPr>
        <w:t> </w:t>
      </w:r>
      <w:r>
        <w:rPr/>
        <w:t>la</w:t>
      </w:r>
      <w:r>
        <w:rPr>
          <w:spacing w:val="-1"/>
        </w:rPr>
        <w:t> </w:t>
      </w:r>
      <w:r>
        <w:rPr/>
        <w:t>cantidad</w:t>
      </w:r>
      <w:r>
        <w:rPr>
          <w:spacing w:val="-1"/>
        </w:rPr>
        <w:t> </w:t>
      </w:r>
      <w:r>
        <w:rPr/>
        <w:t>efectivamente</w:t>
      </w:r>
      <w:r>
        <w:rPr>
          <w:spacing w:val="-1"/>
        </w:rPr>
        <w:t> </w:t>
      </w:r>
      <w:r>
        <w:rPr/>
        <w:t>generada</w:t>
      </w:r>
      <w:r>
        <w:rPr>
          <w:spacing w:val="-2"/>
        </w:rPr>
        <w:t> </w:t>
      </w:r>
      <w:r>
        <w:rPr/>
        <w:t>en</w:t>
      </w:r>
      <w:r>
        <w:rPr>
          <w:spacing w:val="-2"/>
        </w:rPr>
        <w:t> </w:t>
      </w:r>
      <w:r>
        <w:rPr/>
        <w:t>el año</w:t>
      </w:r>
      <w:r>
        <w:rPr>
          <w:spacing w:val="-1"/>
        </w:rPr>
        <w:t> </w:t>
      </w:r>
      <w:r>
        <w:rPr/>
        <w:t>que</w:t>
      </w:r>
      <w:r>
        <w:rPr>
          <w:spacing w:val="-1"/>
        </w:rPr>
        <w:t> </w:t>
      </w:r>
      <w:r>
        <w:rPr/>
        <w:t>se</w:t>
      </w:r>
      <w:r>
        <w:rPr>
          <w:spacing w:val="-1"/>
        </w:rPr>
        <w:t> </w:t>
      </w:r>
      <w:r>
        <w:rPr/>
        <w:t>calcula y</w:t>
      </w:r>
      <w:r>
        <w:rPr>
          <w:spacing w:val="-4"/>
        </w:rPr>
        <w:t> </w:t>
      </w:r>
      <w:r>
        <w:rPr/>
        <w:t>de acuerdo al coeficiente efectivo que cada entidad haya recibido del Fondo de Fomento Municipal en el </w:t>
      </w:r>
      <w:r>
        <w:rPr>
          <w:spacing w:val="-2"/>
        </w:rPr>
        <w:t>2013.</w:t>
      </w:r>
    </w:p>
    <w:p>
      <w:pPr>
        <w:spacing w:line="242" w:lineRule="auto" w:before="0"/>
        <w:ind w:left="1835" w:right="0" w:firstLine="320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21-12-2007.</w:t>
      </w:r>
      <w:r>
        <w:rPr>
          <w:rFonts w:ascii="Times New Roman" w:hAnsi="Times New Roman"/>
          <w:i/>
          <w:color w:val="0000FF"/>
          <w:spacing w:val="-3"/>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09-12-2013</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30-12-1983:</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4"/>
          <w:sz w:val="16"/>
        </w:rPr>
        <w:t> </w:t>
      </w:r>
      <w:r>
        <w:rPr>
          <w:rFonts w:ascii="Times New Roman" w:hAnsi="Times New Roman"/>
          <w:i/>
          <w:color w:val="585858"/>
          <w:sz w:val="16"/>
        </w:rPr>
        <w:t>el</w:t>
      </w:r>
      <w:r>
        <w:rPr>
          <w:rFonts w:ascii="Times New Roman" w:hAnsi="Times New Roman"/>
          <w:i/>
          <w:color w:val="585858"/>
          <w:spacing w:val="-3"/>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z w:val="16"/>
        </w:rPr>
        <w:t>cuarto</w:t>
      </w:r>
      <w:r>
        <w:rPr>
          <w:rFonts w:ascii="Times New Roman" w:hAnsi="Times New Roman"/>
          <w:i/>
          <w:color w:val="585858"/>
          <w:spacing w:val="-6"/>
          <w:sz w:val="16"/>
        </w:rPr>
        <w:t> </w:t>
      </w:r>
      <w:r>
        <w:rPr>
          <w:rFonts w:ascii="Times New Roman" w:hAnsi="Times New Roman"/>
          <w:i/>
          <w:color w:val="585858"/>
          <w:sz w:val="16"/>
        </w:rPr>
        <w:t>(antes</w:t>
      </w:r>
      <w:r>
        <w:rPr>
          <w:rFonts w:ascii="Times New Roman" w:hAnsi="Times New Roman"/>
          <w:i/>
          <w:color w:val="585858"/>
          <w:spacing w:val="-5"/>
          <w:sz w:val="16"/>
        </w:rPr>
        <w:t> </w:t>
      </w:r>
      <w:r>
        <w:rPr>
          <w:rFonts w:ascii="Times New Roman" w:hAnsi="Times New Roman"/>
          <w:i/>
          <w:color w:val="585858"/>
          <w:sz w:val="16"/>
        </w:rPr>
        <w:t>con</w:t>
      </w:r>
      <w:r>
        <w:rPr>
          <w:rFonts w:ascii="Times New Roman" w:hAnsi="Times New Roman"/>
          <w:i/>
          <w:color w:val="585858"/>
          <w:spacing w:val="-5"/>
          <w:sz w:val="16"/>
        </w:rPr>
        <w:t> </w:t>
      </w:r>
      <w:r>
        <w:rPr>
          <w:rFonts w:ascii="Times New Roman" w:hAnsi="Times New Roman"/>
          <w:i/>
          <w:color w:val="585858"/>
          <w:sz w:val="16"/>
        </w:rPr>
        <w:t>fe</w:t>
      </w:r>
      <w:r>
        <w:rPr>
          <w:rFonts w:ascii="Times New Roman" w:hAnsi="Times New Roman"/>
          <w:i/>
          <w:color w:val="585858"/>
          <w:spacing w:val="-6"/>
          <w:sz w:val="16"/>
        </w:rPr>
        <w:t> </w:t>
      </w:r>
      <w:r>
        <w:rPr>
          <w:rFonts w:ascii="Times New Roman" w:hAnsi="Times New Roman"/>
          <w:i/>
          <w:color w:val="585858"/>
          <w:sz w:val="16"/>
        </w:rPr>
        <w:t>de</w:t>
      </w:r>
      <w:r>
        <w:rPr>
          <w:rFonts w:ascii="Times New Roman" w:hAnsi="Times New Roman"/>
          <w:i/>
          <w:color w:val="585858"/>
          <w:spacing w:val="-3"/>
          <w:sz w:val="16"/>
        </w:rPr>
        <w:t> </w:t>
      </w:r>
      <w:r>
        <w:rPr>
          <w:rFonts w:ascii="Times New Roman" w:hAnsi="Times New Roman"/>
          <w:i/>
          <w:color w:val="585858"/>
          <w:sz w:val="16"/>
        </w:rPr>
        <w:t>erratas</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15-04-</w:t>
      </w:r>
      <w:r>
        <w:rPr>
          <w:rFonts w:ascii="Times New Roman" w:hAnsi="Times New Roman"/>
          <w:i/>
          <w:color w:val="585858"/>
          <w:spacing w:val="-2"/>
          <w:sz w:val="16"/>
        </w:rPr>
        <w:t>1982)</w:t>
      </w:r>
    </w:p>
    <w:p>
      <w:pPr>
        <w:spacing w:line="183" w:lineRule="exact" w:before="0"/>
        <w:ind w:left="502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1981</w:t>
      </w:r>
    </w:p>
    <w:p>
      <w:pPr>
        <w:pStyle w:val="BodyText"/>
        <w:spacing w:before="42"/>
        <w:rPr>
          <w:rFonts w:ascii="Times New Roman"/>
          <w:i/>
          <w:sz w:val="16"/>
        </w:rPr>
      </w:pPr>
    </w:p>
    <w:p>
      <w:pPr>
        <w:pStyle w:val="BodyText"/>
        <w:spacing w:line="242" w:lineRule="auto"/>
        <w:ind w:left="1" w:right="149" w:firstLine="288"/>
        <w:jc w:val="both"/>
      </w:pPr>
      <w:bookmarkStart w:name="Artículo_3o" w:id="4"/>
      <w:bookmarkEnd w:id="4"/>
      <w:r>
        <w:rPr/>
      </w:r>
      <w:r>
        <w:rPr>
          <w:rFonts w:ascii="Arial" w:hAnsi="Arial"/>
          <w:b/>
        </w:rPr>
        <w:t>Artículo 3o.- </w:t>
      </w:r>
      <w:r>
        <w:rPr/>
        <w:t>La Secretaría de Hacienda y Crédito Público tiene la obligación de publicar en el Diario Oficial de la Federación el calendario de entrega, porcentaje, fórmulas y variables utilizadas, así como el monto, estimados, que recibirá cada Entidad Federativa del fondo general y del fondo de fomento municipal, para cada ejercicio fiscal a más tardar el 31 de enero del ejercicio de que se trate.</w:t>
      </w:r>
    </w:p>
    <w:p>
      <w:pPr>
        <w:spacing w:line="176" w:lineRule="exact" w:before="0"/>
        <w:ind w:left="504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31-12-1999.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14-07-</w:t>
      </w:r>
      <w:r>
        <w:rPr>
          <w:rFonts w:ascii="Times New Roman" w:hAnsi="Times New Roman"/>
          <w:i/>
          <w:color w:val="0000FF"/>
          <w:spacing w:val="-4"/>
          <w:sz w:val="16"/>
        </w:rPr>
        <w:t>2003</w:t>
      </w:r>
    </w:p>
    <w:p>
      <w:pPr>
        <w:pStyle w:val="BodyText"/>
        <w:spacing w:before="47"/>
        <w:rPr>
          <w:rFonts w:ascii="Times New Roman"/>
          <w:i/>
          <w:sz w:val="16"/>
        </w:rPr>
      </w:pPr>
    </w:p>
    <w:p>
      <w:pPr>
        <w:pStyle w:val="BodyText"/>
        <w:spacing w:before="1"/>
        <w:ind w:left="1" w:right="139" w:firstLine="288"/>
        <w:jc w:val="both"/>
      </w:pPr>
      <w:r>
        <w:rPr/>
        <w:t>En los informes trimestrales sobre las finanzas públicas que la Secretaría de Hacienda y Crédito Público entrega a la Cámara de Diputados deberá incluir la evolución de la recaudación federal participable, el importe de las participaciones entregadas de cada fondo a las entidades en ese lapso y,</w:t>
      </w:r>
      <w:r>
        <w:rPr>
          <w:spacing w:val="40"/>
        </w:rPr>
        <w:t> </w:t>
      </w:r>
      <w:r>
        <w:rPr/>
        <w:t>en su caso, el ajuste realizado al término de cada ejercicio fiscal.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1999</w:t>
      </w:r>
    </w:p>
    <w:p>
      <w:pPr>
        <w:spacing w:after="0" w:line="181" w:lineRule="exact"/>
        <w:jc w:val="right"/>
        <w:rPr>
          <w:rFonts w:ascii="Times New Roman" w:hAnsi="Times New Roman"/>
          <w:i/>
          <w:sz w:val="16"/>
        </w:rPr>
        <w:sectPr>
          <w:pgSz w:w="12250" w:h="15850"/>
          <w:pgMar w:header="724" w:footer="712" w:top="1880" w:bottom="900" w:left="1417" w:right="1275"/>
        </w:sectPr>
      </w:pPr>
    </w:p>
    <w:p>
      <w:pPr>
        <w:pStyle w:val="BodyText"/>
        <w:spacing w:before="111"/>
        <w:rPr>
          <w:rFonts w:ascii="Times New Roman"/>
          <w:i/>
          <w:sz w:val="16"/>
        </w:rPr>
      </w:pPr>
    </w:p>
    <w:p>
      <w:pPr>
        <w:spacing w:before="0"/>
        <w:ind w:left="1295" w:right="136" w:firstLine="3202"/>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21-12-2007:</w:t>
      </w:r>
      <w:r>
        <w:rPr>
          <w:rFonts w:ascii="Times New Roman" w:hAnsi="Times New Roman"/>
          <w:i/>
          <w:color w:val="585858"/>
          <w:spacing w:val="-3"/>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artículo</w:t>
      </w:r>
      <w:r>
        <w:rPr>
          <w:rFonts w:ascii="Times New Roman" w:hAnsi="Times New Roman"/>
          <w:i/>
          <w:color w:val="585858"/>
          <w:spacing w:val="-3"/>
          <w:sz w:val="16"/>
        </w:rPr>
        <w:t> </w:t>
      </w:r>
      <w:r>
        <w:rPr>
          <w:rFonts w:ascii="Times New Roman" w:hAnsi="Times New Roman"/>
          <w:i/>
          <w:color w:val="585858"/>
          <w:sz w:val="16"/>
        </w:rPr>
        <w:t>el</w:t>
      </w:r>
      <w:r>
        <w:rPr>
          <w:rFonts w:ascii="Times New Roman" w:hAnsi="Times New Roman"/>
          <w:i/>
          <w:color w:val="585858"/>
          <w:spacing w:val="-3"/>
          <w:sz w:val="16"/>
        </w:rPr>
        <w:t> </w:t>
      </w:r>
      <w:r>
        <w:rPr>
          <w:rFonts w:ascii="Times New Roman" w:hAnsi="Times New Roman"/>
          <w:i/>
          <w:color w:val="585858"/>
          <w:sz w:val="16"/>
        </w:rPr>
        <w:t>entonces</w:t>
      </w:r>
      <w:r>
        <w:rPr>
          <w:rFonts w:ascii="Times New Roman" w:hAnsi="Times New Roman"/>
          <w:i/>
          <w:color w:val="585858"/>
          <w:spacing w:val="-4"/>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z w:val="16"/>
        </w:rPr>
        <w:t>primero</w:t>
      </w:r>
      <w:r>
        <w:rPr>
          <w:rFonts w:ascii="Times New Roman" w:hAnsi="Times New Roman"/>
          <w:i/>
          <w:color w:val="585858"/>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21-12-2007:</w:t>
      </w:r>
      <w:r>
        <w:rPr>
          <w:rFonts w:ascii="Times New Roman" w:hAnsi="Times New Roman"/>
          <w:i/>
          <w:color w:val="585858"/>
          <w:spacing w:val="-3"/>
          <w:sz w:val="16"/>
        </w:rPr>
        <w:t> </w:t>
      </w:r>
      <w:r>
        <w:rPr>
          <w:rFonts w:ascii="Times New Roman" w:hAnsi="Times New Roman"/>
          <w:i/>
          <w:color w:val="585858"/>
          <w:sz w:val="16"/>
        </w:rPr>
        <w:t>Derogó</w:t>
      </w:r>
      <w:r>
        <w:rPr>
          <w:rFonts w:ascii="Times New Roman" w:hAnsi="Times New Roman"/>
          <w:i/>
          <w:color w:val="585858"/>
          <w:spacing w:val="-3"/>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artículo</w:t>
      </w:r>
      <w:r>
        <w:rPr>
          <w:rFonts w:ascii="Times New Roman" w:hAnsi="Times New Roman"/>
          <w:i/>
          <w:color w:val="585858"/>
          <w:spacing w:val="-1"/>
          <w:sz w:val="16"/>
        </w:rPr>
        <w:t> </w:t>
      </w:r>
      <w:r>
        <w:rPr>
          <w:rFonts w:ascii="Times New Roman" w:hAnsi="Times New Roman"/>
          <w:i/>
          <w:color w:val="585858"/>
          <w:sz w:val="16"/>
        </w:rPr>
        <w:t>el</w:t>
      </w:r>
      <w:r>
        <w:rPr>
          <w:rFonts w:ascii="Times New Roman" w:hAnsi="Times New Roman"/>
          <w:i/>
          <w:color w:val="585858"/>
          <w:spacing w:val="-3"/>
          <w:sz w:val="16"/>
        </w:rPr>
        <w:t> </w:t>
      </w:r>
      <w:r>
        <w:rPr>
          <w:rFonts w:ascii="Times New Roman" w:hAnsi="Times New Roman"/>
          <w:i/>
          <w:color w:val="585858"/>
          <w:sz w:val="16"/>
        </w:rPr>
        <w:t>entonces</w:t>
      </w:r>
      <w:r>
        <w:rPr>
          <w:rFonts w:ascii="Times New Roman" w:hAnsi="Times New Roman"/>
          <w:i/>
          <w:color w:val="585858"/>
          <w:spacing w:val="-4"/>
          <w:sz w:val="16"/>
        </w:rPr>
        <w:t> </w:t>
      </w:r>
      <w:r>
        <w:rPr>
          <w:rFonts w:ascii="Times New Roman" w:hAnsi="Times New Roman"/>
          <w:i/>
          <w:color w:val="585858"/>
          <w:sz w:val="16"/>
        </w:rPr>
        <w:t>párrafo</w:t>
      </w:r>
      <w:r>
        <w:rPr>
          <w:rFonts w:ascii="Times New Roman" w:hAnsi="Times New Roman"/>
          <w:i/>
          <w:color w:val="585858"/>
          <w:spacing w:val="-1"/>
          <w:sz w:val="16"/>
        </w:rPr>
        <w:t> </w:t>
      </w:r>
      <w:r>
        <w:rPr>
          <w:rFonts w:ascii="Times New Roman" w:hAnsi="Times New Roman"/>
          <w:i/>
          <w:color w:val="585858"/>
          <w:sz w:val="16"/>
        </w:rPr>
        <w:t>segundo (antes</w:t>
      </w:r>
      <w:r>
        <w:rPr>
          <w:rFonts w:ascii="Times New Roman" w:hAnsi="Times New Roman"/>
          <w:i/>
          <w:color w:val="585858"/>
          <w:spacing w:val="-2"/>
          <w:sz w:val="16"/>
        </w:rPr>
        <w:t> </w:t>
      </w:r>
      <w:r>
        <w:rPr>
          <w:rFonts w:ascii="Times New Roman" w:hAnsi="Times New Roman"/>
          <w:i/>
          <w:color w:val="585858"/>
          <w:sz w:val="16"/>
        </w:rPr>
        <w:t>reformado DOF</w:t>
      </w:r>
      <w:r>
        <w:rPr>
          <w:rFonts w:ascii="Times New Roman" w:hAnsi="Times New Roman"/>
          <w:i/>
          <w:color w:val="585858"/>
          <w:spacing w:val="-4"/>
          <w:sz w:val="16"/>
        </w:rPr>
        <w:t> </w:t>
      </w:r>
      <w:r>
        <w:rPr>
          <w:rFonts w:ascii="Times New Roman" w:hAnsi="Times New Roman"/>
          <w:i/>
          <w:color w:val="585858"/>
          <w:sz w:val="16"/>
        </w:rPr>
        <w:t>15-12-1995,</w:t>
      </w:r>
      <w:r>
        <w:rPr>
          <w:rFonts w:ascii="Times New Roman" w:hAnsi="Times New Roman"/>
          <w:i/>
          <w:color w:val="585858"/>
          <w:spacing w:val="-3"/>
          <w:sz w:val="16"/>
        </w:rPr>
        <w:t> </w:t>
      </w:r>
      <w:r>
        <w:rPr>
          <w:rFonts w:ascii="Times New Roman" w:hAnsi="Times New Roman"/>
          <w:i/>
          <w:color w:val="585858"/>
          <w:sz w:val="16"/>
        </w:rPr>
        <w:t>30-12-1996)</w:t>
      </w:r>
      <w:r>
        <w:rPr>
          <w:rFonts w:ascii="Times New Roman" w:hAnsi="Times New Roman"/>
          <w:i/>
          <w:color w:val="585858"/>
          <w:spacing w:val="40"/>
          <w:sz w:val="16"/>
        </w:rPr>
        <w:t> </w:t>
      </w:r>
      <w:r>
        <w:rPr>
          <w:rFonts w:ascii="Times New Roman" w:hAnsi="Times New Roman"/>
          <w:i/>
          <w:color w:val="0000FF"/>
          <w:sz w:val="16"/>
        </w:rPr>
        <w:t>Artículo reformado DOF 31-12-1982, 30-12-1983, 31-12-1987, 28-12-1989, 26-12-1990</w:t>
      </w:r>
    </w:p>
    <w:p>
      <w:pPr>
        <w:pStyle w:val="BodyText"/>
        <w:spacing w:before="46"/>
        <w:rPr>
          <w:rFonts w:ascii="Times New Roman"/>
          <w:i/>
          <w:sz w:val="16"/>
        </w:rPr>
      </w:pPr>
    </w:p>
    <w:p>
      <w:pPr>
        <w:pStyle w:val="BodyText"/>
        <w:ind w:left="1" w:right="142" w:firstLine="288"/>
        <w:jc w:val="both"/>
      </w:pPr>
      <w:bookmarkStart w:name="Artículo_3_A" w:id="5"/>
      <w:bookmarkEnd w:id="5"/>
      <w:r>
        <w:rPr/>
      </w:r>
      <w:r>
        <w:rPr>
          <w:rFonts w:ascii="Arial" w:hAnsi="Arial"/>
          <w:b/>
        </w:rPr>
        <w:t>Artículo 3-A.- </w:t>
      </w:r>
      <w:r>
        <w:rPr/>
        <w:t>Las entidades federativas adheridas al Sistema Nacional de Coordinación Fiscal, participarán de la recaudación que se obtenga del impuesto especial sobre producción y servicios, por la realización de los actos o actividades gravados con dicho impuesto sobre los bienes que a continuación se mencionan, conforme a las proporciones siguientes:</w:t>
      </w:r>
    </w:p>
    <w:p>
      <w:pPr>
        <w:pStyle w:val="BodyText"/>
      </w:pPr>
    </w:p>
    <w:p>
      <w:pPr>
        <w:pStyle w:val="BodyText"/>
        <w:tabs>
          <w:tab w:pos="858" w:val="left" w:leader="none"/>
        </w:tabs>
        <w:spacing w:line="242" w:lineRule="auto"/>
        <w:ind w:left="858" w:right="153" w:hanging="569"/>
      </w:pPr>
      <w:r>
        <w:rPr>
          <w:rFonts w:ascii="Arial" w:hAnsi="Arial"/>
          <w:b/>
          <w:spacing w:val="-4"/>
        </w:rPr>
        <w:t>I.-</w:t>
      </w:r>
      <w:r>
        <w:rPr>
          <w:rFonts w:ascii="Arial" w:hAnsi="Arial"/>
          <w:b/>
        </w:rPr>
        <w:tab/>
      </w:r>
      <w:r>
        <w:rPr/>
        <w:t>El</w:t>
      </w:r>
      <w:r>
        <w:rPr>
          <w:spacing w:val="40"/>
        </w:rPr>
        <w:t> </w:t>
      </w:r>
      <w:r>
        <w:rPr/>
        <w:t>20%</w:t>
      </w:r>
      <w:r>
        <w:rPr>
          <w:spacing w:val="40"/>
        </w:rPr>
        <w:t> </w:t>
      </w:r>
      <w:r>
        <w:rPr/>
        <w:t>de</w:t>
      </w:r>
      <w:r>
        <w:rPr>
          <w:spacing w:val="40"/>
        </w:rPr>
        <w:t> </w:t>
      </w:r>
      <w:r>
        <w:rPr/>
        <w:t>la</w:t>
      </w:r>
      <w:r>
        <w:rPr>
          <w:spacing w:val="40"/>
        </w:rPr>
        <w:t> </w:t>
      </w:r>
      <w:r>
        <w:rPr/>
        <w:t>recaudación</w:t>
      </w:r>
      <w:r>
        <w:rPr>
          <w:spacing w:val="40"/>
        </w:rPr>
        <w:t> </w:t>
      </w:r>
      <w:r>
        <w:rPr/>
        <w:t>si</w:t>
      </w:r>
      <w:r>
        <w:rPr>
          <w:spacing w:val="40"/>
        </w:rPr>
        <w:t> </w:t>
      </w:r>
      <w:r>
        <w:rPr/>
        <w:t>se</w:t>
      </w:r>
      <w:r>
        <w:rPr>
          <w:spacing w:val="40"/>
        </w:rPr>
        <w:t> </w:t>
      </w:r>
      <w:r>
        <w:rPr/>
        <w:t>trata</w:t>
      </w:r>
      <w:r>
        <w:rPr>
          <w:spacing w:val="40"/>
        </w:rPr>
        <w:t> </w:t>
      </w:r>
      <w:r>
        <w:rPr/>
        <w:t>de</w:t>
      </w:r>
      <w:r>
        <w:rPr>
          <w:spacing w:val="40"/>
        </w:rPr>
        <w:t> </w:t>
      </w:r>
      <w:r>
        <w:rPr/>
        <w:t>cerveza,</w:t>
      </w:r>
      <w:r>
        <w:rPr>
          <w:spacing w:val="40"/>
        </w:rPr>
        <w:t> </w:t>
      </w:r>
      <w:r>
        <w:rPr/>
        <w:t>bebidas</w:t>
      </w:r>
      <w:r>
        <w:rPr>
          <w:spacing w:val="40"/>
        </w:rPr>
        <w:t> </w:t>
      </w:r>
      <w:r>
        <w:rPr/>
        <w:t>refrescantes,</w:t>
      </w:r>
      <w:r>
        <w:rPr>
          <w:spacing w:val="40"/>
        </w:rPr>
        <w:t> </w:t>
      </w:r>
      <w:r>
        <w:rPr/>
        <w:t>alcohol,</w:t>
      </w:r>
      <w:r>
        <w:rPr>
          <w:spacing w:val="40"/>
        </w:rPr>
        <w:t> </w:t>
      </w:r>
      <w:r>
        <w:rPr/>
        <w:t>bebidas</w:t>
      </w:r>
      <w:r>
        <w:rPr>
          <w:spacing w:val="40"/>
        </w:rPr>
        <w:t> </w:t>
      </w:r>
      <w:r>
        <w:rPr/>
        <w:t>alcohólicas fermentadas y bebidas alcohólicas.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1999</w:t>
      </w:r>
    </w:p>
    <w:p>
      <w:pPr>
        <w:pStyle w:val="BodyText"/>
        <w:spacing w:before="2"/>
        <w:rPr>
          <w:rFonts w:ascii="Times New Roman"/>
          <w:i/>
        </w:rPr>
      </w:pPr>
    </w:p>
    <w:p>
      <w:pPr>
        <w:pStyle w:val="BodyText"/>
        <w:tabs>
          <w:tab w:pos="858" w:val="left" w:leader="none"/>
        </w:tabs>
        <w:ind w:left="289"/>
      </w:pPr>
      <w:r>
        <w:rPr>
          <w:rFonts w:ascii="Arial" w:hAnsi="Arial"/>
          <w:b/>
          <w:spacing w:val="-4"/>
        </w:rPr>
        <w:t>II.-</w:t>
      </w:r>
      <w:r>
        <w:rPr>
          <w:rFonts w:ascii="Arial" w:hAnsi="Arial"/>
          <w:b/>
        </w:rPr>
        <w:tab/>
      </w:r>
      <w:r>
        <w:rPr/>
        <w:t>El</w:t>
      </w:r>
      <w:r>
        <w:rPr>
          <w:spacing w:val="-4"/>
        </w:rPr>
        <w:t> </w:t>
      </w:r>
      <w:r>
        <w:rPr/>
        <w:t>8%</w:t>
      </w:r>
      <w:r>
        <w:rPr>
          <w:spacing w:val="-5"/>
        </w:rPr>
        <w:t> </w:t>
      </w:r>
      <w:r>
        <w:rPr/>
        <w:t>de</w:t>
      </w:r>
      <w:r>
        <w:rPr>
          <w:spacing w:val="-5"/>
        </w:rPr>
        <w:t> </w:t>
      </w:r>
      <w:r>
        <w:rPr/>
        <w:t>la</w:t>
      </w:r>
      <w:r>
        <w:rPr>
          <w:spacing w:val="-5"/>
        </w:rPr>
        <w:t> </w:t>
      </w:r>
      <w:r>
        <w:rPr/>
        <w:t>recaudación</w:t>
      </w:r>
      <w:r>
        <w:rPr>
          <w:spacing w:val="-5"/>
        </w:rPr>
        <w:t> </w:t>
      </w:r>
      <w:r>
        <w:rPr/>
        <w:t>si</w:t>
      </w:r>
      <w:r>
        <w:rPr>
          <w:spacing w:val="-4"/>
        </w:rPr>
        <w:t> </w:t>
      </w:r>
      <w:r>
        <w:rPr/>
        <w:t>se</w:t>
      </w:r>
      <w:r>
        <w:rPr>
          <w:spacing w:val="-5"/>
        </w:rPr>
        <w:t> </w:t>
      </w:r>
      <w:r>
        <w:rPr/>
        <w:t>trata</w:t>
      </w:r>
      <w:r>
        <w:rPr>
          <w:spacing w:val="-6"/>
        </w:rPr>
        <w:t> </w:t>
      </w:r>
      <w:r>
        <w:rPr/>
        <w:t>de</w:t>
      </w:r>
      <w:r>
        <w:rPr>
          <w:spacing w:val="-5"/>
        </w:rPr>
        <w:t> </w:t>
      </w:r>
      <w:r>
        <w:rPr/>
        <w:t>tabacos</w:t>
      </w:r>
      <w:r>
        <w:rPr>
          <w:spacing w:val="-2"/>
        </w:rPr>
        <w:t> labrados.</w:t>
      </w:r>
    </w:p>
    <w:p>
      <w:pPr>
        <w:pStyle w:val="BodyText"/>
        <w:spacing w:before="3"/>
      </w:pPr>
    </w:p>
    <w:p>
      <w:pPr>
        <w:pStyle w:val="BodyText"/>
        <w:ind w:left="1" w:right="141" w:firstLine="288"/>
        <w:jc w:val="both"/>
      </w:pPr>
      <w:r>
        <w:rPr/>
        <w:t>Esta participación se distribuirá en función del porcentaje que represente la enajenación de cada uno de los bienes a que se refiere este artículo en cada entidad federativa, de la enajenación nacional, y se liquidará conforme a lo establecido en el artículo 7o. de esta Ley.</w:t>
      </w:r>
    </w:p>
    <w:p>
      <w:pPr>
        <w:pStyle w:val="BodyText"/>
        <w:spacing w:line="229" w:lineRule="exact" w:before="229"/>
        <w:ind w:left="289"/>
      </w:pPr>
      <w:r>
        <w:rPr/>
        <w:t>Los</w:t>
      </w:r>
      <w:r>
        <w:rPr>
          <w:spacing w:val="-7"/>
        </w:rPr>
        <w:t> </w:t>
      </w:r>
      <w:r>
        <w:rPr/>
        <w:t>municipios</w:t>
      </w:r>
      <w:r>
        <w:rPr>
          <w:spacing w:val="-6"/>
        </w:rPr>
        <w:t> </w:t>
      </w:r>
      <w:r>
        <w:rPr/>
        <w:t>recibirán</w:t>
      </w:r>
      <w:r>
        <w:rPr>
          <w:spacing w:val="-7"/>
        </w:rPr>
        <w:t> </w:t>
      </w:r>
      <w:r>
        <w:rPr/>
        <w:t>como</w:t>
      </w:r>
      <w:r>
        <w:rPr>
          <w:spacing w:val="-10"/>
        </w:rPr>
        <w:t> </w:t>
      </w:r>
      <w:r>
        <w:rPr/>
        <w:t>mínimo</w:t>
      </w:r>
      <w:r>
        <w:rPr>
          <w:spacing w:val="-7"/>
        </w:rPr>
        <w:t> </w:t>
      </w:r>
      <w:r>
        <w:rPr/>
        <w:t>el</w:t>
      </w:r>
      <w:r>
        <w:rPr>
          <w:spacing w:val="-8"/>
        </w:rPr>
        <w:t> </w:t>
      </w:r>
      <w:r>
        <w:rPr/>
        <w:t>20%</w:t>
      </w:r>
      <w:r>
        <w:rPr>
          <w:spacing w:val="-4"/>
        </w:rPr>
        <w:t> </w:t>
      </w:r>
      <w:r>
        <w:rPr/>
        <w:t>de</w:t>
      </w:r>
      <w:r>
        <w:rPr>
          <w:spacing w:val="-6"/>
        </w:rPr>
        <w:t> </w:t>
      </w:r>
      <w:r>
        <w:rPr/>
        <w:t>la</w:t>
      </w:r>
      <w:r>
        <w:rPr>
          <w:spacing w:val="-7"/>
        </w:rPr>
        <w:t> </w:t>
      </w:r>
      <w:r>
        <w:rPr/>
        <w:t>participación</w:t>
      </w:r>
      <w:r>
        <w:rPr>
          <w:spacing w:val="-6"/>
        </w:rPr>
        <w:t> </w:t>
      </w:r>
      <w:r>
        <w:rPr/>
        <w:t>que</w:t>
      </w:r>
      <w:r>
        <w:rPr>
          <w:spacing w:val="-6"/>
        </w:rPr>
        <w:t> </w:t>
      </w:r>
      <w:r>
        <w:rPr/>
        <w:t>le</w:t>
      </w:r>
      <w:r>
        <w:rPr>
          <w:spacing w:val="-5"/>
        </w:rPr>
        <w:t> </w:t>
      </w:r>
      <w:r>
        <w:rPr/>
        <w:t>corresponda</w:t>
      </w:r>
      <w:r>
        <w:rPr>
          <w:spacing w:val="-8"/>
        </w:rPr>
        <w:t> </w:t>
      </w:r>
      <w:r>
        <w:rPr/>
        <w:t>al</w:t>
      </w:r>
      <w:r>
        <w:rPr>
          <w:spacing w:val="-7"/>
        </w:rPr>
        <w:t> </w:t>
      </w:r>
      <w:r>
        <w:rPr>
          <w:spacing w:val="-2"/>
        </w:rPr>
        <w:t>estado.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15-12-</w:t>
      </w:r>
      <w:r>
        <w:rPr>
          <w:rFonts w:ascii="Times New Roman" w:hAnsi="Times New Roman"/>
          <w:i/>
          <w:color w:val="0000FF"/>
          <w:spacing w:val="-4"/>
          <w:sz w:val="16"/>
        </w:rPr>
        <w:t>1995</w:t>
      </w:r>
    </w:p>
    <w:p>
      <w:pPr>
        <w:pStyle w:val="BodyText"/>
        <w:spacing w:before="45"/>
        <w:rPr>
          <w:rFonts w:ascii="Times New Roman"/>
          <w:i/>
          <w:sz w:val="16"/>
        </w:rPr>
      </w:pPr>
    </w:p>
    <w:p>
      <w:pPr>
        <w:pStyle w:val="BodyText"/>
        <w:ind w:left="1" w:right="140" w:firstLine="288"/>
        <w:jc w:val="both"/>
      </w:pPr>
      <w:bookmarkStart w:name="Artículo_3_B" w:id="6"/>
      <w:bookmarkEnd w:id="6"/>
      <w:r>
        <w:rPr/>
      </w:r>
      <w:r>
        <w:rPr>
          <w:rFonts w:ascii="Arial" w:hAnsi="Arial"/>
          <w:b/>
        </w:rPr>
        <w:t>Artículo 3-B.- </w:t>
      </w:r>
      <w:r>
        <w:rPr/>
        <w:t>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w:t>
      </w:r>
    </w:p>
    <w:p>
      <w:pPr>
        <w:pStyle w:val="BodyText"/>
        <w:spacing w:before="4"/>
      </w:pPr>
    </w:p>
    <w:p>
      <w:pPr>
        <w:pStyle w:val="BodyText"/>
        <w:ind w:left="1" w:right="152" w:firstLine="288"/>
        <w:jc w:val="both"/>
      </w:pPr>
      <w:r>
        <w:rPr/>
        <w:t>Para efectos</w:t>
      </w:r>
      <w:r>
        <w:rPr>
          <w:spacing w:val="-1"/>
        </w:rPr>
        <w:t> </w:t>
      </w:r>
      <w:r>
        <w:rPr/>
        <w:t>del párrafo</w:t>
      </w:r>
      <w:r>
        <w:rPr>
          <w:spacing w:val="-1"/>
        </w:rPr>
        <w:t> </w:t>
      </w:r>
      <w:r>
        <w:rPr/>
        <w:t>anterior,</w:t>
      </w:r>
      <w:r>
        <w:rPr>
          <w:spacing w:val="-1"/>
        </w:rPr>
        <w:t> </w:t>
      </w:r>
      <w:r>
        <w:rPr/>
        <w:t>se considerará la</w:t>
      </w:r>
      <w:r>
        <w:rPr>
          <w:spacing w:val="-1"/>
        </w:rPr>
        <w:t> </w:t>
      </w:r>
      <w:r>
        <w:rPr/>
        <w:t>recaudación que</w:t>
      </w:r>
      <w:r>
        <w:rPr>
          <w:spacing w:val="-1"/>
        </w:rPr>
        <w:t> </w:t>
      </w:r>
      <w:r>
        <w:rPr/>
        <w:t>se obtenga por</w:t>
      </w:r>
      <w:r>
        <w:rPr>
          <w:spacing w:val="-1"/>
        </w:rPr>
        <w:t> </w:t>
      </w:r>
      <w:r>
        <w:rPr/>
        <w:t>el</w:t>
      </w:r>
      <w:r>
        <w:rPr>
          <w:spacing w:val="-1"/>
        </w:rPr>
        <w:t> </w:t>
      </w:r>
      <w:r>
        <w:rPr/>
        <w:t>Impuesto</w:t>
      </w:r>
      <w:r>
        <w:rPr>
          <w:spacing w:val="-1"/>
        </w:rPr>
        <w:t> </w:t>
      </w:r>
      <w:r>
        <w:rPr/>
        <w:t>sobre la Renta, una vez descontadas las devoluciones por dicho concepto.</w:t>
      </w:r>
    </w:p>
    <w:p>
      <w:pPr>
        <w:pStyle w:val="BodyText"/>
        <w:spacing w:before="229"/>
        <w:ind w:left="1" w:right="150" w:firstLine="288"/>
        <w:jc w:val="both"/>
      </w:pPr>
      <w:r>
        <w:rPr/>
        <w:t>Asimismo, para que resulte aplicable lo dispuesto en el primer párrafo de este artículo, las entidades deberán enterar a la Federación el 100% de la retención que deben efectuar del Impuesto sobre la Renta correspondiente a los ingresos por salarios que las entidades paguen con cargo a recursos federales.</w:t>
      </w:r>
    </w:p>
    <w:p>
      <w:pPr>
        <w:pStyle w:val="BodyText"/>
        <w:spacing w:before="1"/>
      </w:pPr>
    </w:p>
    <w:p>
      <w:pPr>
        <w:pStyle w:val="BodyText"/>
        <w:ind w:left="1" w:right="139" w:firstLine="288"/>
        <w:jc w:val="both"/>
      </w:pPr>
      <w:r>
        <w:rPr/>
        <w:t>Las entidades deberán participar a sus municipios o demarcaciones territoriales, el 100% de la recaudación</w:t>
      </w:r>
      <w:r>
        <w:rPr>
          <w:spacing w:val="-2"/>
        </w:rPr>
        <w:t> </w:t>
      </w:r>
      <w:r>
        <w:rPr/>
        <w:t>del</w:t>
      </w:r>
      <w:r>
        <w:rPr>
          <w:spacing w:val="-2"/>
        </w:rPr>
        <w:t> </w:t>
      </w:r>
      <w:r>
        <w:rPr/>
        <w:t>impuesto</w:t>
      </w:r>
      <w:r>
        <w:rPr>
          <w:spacing w:val="-4"/>
        </w:rPr>
        <w:t> </w:t>
      </w:r>
      <w:r>
        <w:rPr/>
        <w:t>al</w:t>
      </w:r>
      <w:r>
        <w:rPr>
          <w:spacing w:val="-4"/>
        </w:rPr>
        <w:t> </w:t>
      </w:r>
      <w:r>
        <w:rPr/>
        <w:t>que</w:t>
      </w:r>
      <w:r>
        <w:rPr>
          <w:spacing w:val="-3"/>
        </w:rPr>
        <w:t> </w:t>
      </w:r>
      <w:r>
        <w:rPr/>
        <w:t>se</w:t>
      </w:r>
      <w:r>
        <w:rPr>
          <w:spacing w:val="-3"/>
        </w:rPr>
        <w:t> </w:t>
      </w:r>
      <w:r>
        <w:rPr/>
        <w:t>refiere</w:t>
      </w:r>
      <w:r>
        <w:rPr>
          <w:spacing w:val="-1"/>
        </w:rPr>
        <w:t> </w:t>
      </w:r>
      <w:r>
        <w:rPr/>
        <w:t>el</w:t>
      </w:r>
      <w:r>
        <w:rPr>
          <w:spacing w:val="-2"/>
        </w:rPr>
        <w:t> </w:t>
      </w:r>
      <w:r>
        <w:rPr/>
        <w:t>párrafo</w:t>
      </w:r>
      <w:r>
        <w:rPr>
          <w:spacing w:val="-3"/>
        </w:rPr>
        <w:t> </w:t>
      </w:r>
      <w:r>
        <w:rPr/>
        <w:t>primero</w:t>
      </w:r>
      <w:r>
        <w:rPr>
          <w:spacing w:val="-3"/>
        </w:rPr>
        <w:t> </w:t>
      </w:r>
      <w:r>
        <w:rPr/>
        <w:t>de</w:t>
      </w:r>
      <w:r>
        <w:rPr>
          <w:spacing w:val="-4"/>
        </w:rPr>
        <w:t> </w:t>
      </w:r>
      <w:r>
        <w:rPr/>
        <w:t>este</w:t>
      </w:r>
      <w:r>
        <w:rPr>
          <w:spacing w:val="-4"/>
        </w:rPr>
        <w:t> </w:t>
      </w:r>
      <w:r>
        <w:rPr/>
        <w:t>artículo,</w:t>
      </w:r>
      <w:r>
        <w:rPr>
          <w:spacing w:val="-3"/>
        </w:rPr>
        <w:t> </w:t>
      </w:r>
      <w:r>
        <w:rPr/>
        <w:t>correspondiente</w:t>
      </w:r>
      <w:r>
        <w:rPr>
          <w:spacing w:val="-2"/>
        </w:rPr>
        <w:t> </w:t>
      </w:r>
      <w:r>
        <w:rPr/>
        <w:t>al</w:t>
      </w:r>
      <w:r>
        <w:rPr>
          <w:spacing w:val="-2"/>
        </w:rPr>
        <w:t> </w:t>
      </w:r>
      <w:r>
        <w:rPr/>
        <w:t>personal que preste o desempeñe un servicio personal subordinado en el municipio o demarcación territorial de que se trate.</w:t>
      </w:r>
    </w:p>
    <w:p>
      <w:pPr>
        <w:spacing w:line="182" w:lineRule="exact" w:before="0"/>
        <w:ind w:left="41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31-12-1999,</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5"/>
        <w:rPr>
          <w:rFonts w:ascii="Times New Roman"/>
          <w:i/>
          <w:sz w:val="16"/>
        </w:rPr>
      </w:pPr>
    </w:p>
    <w:p>
      <w:pPr>
        <w:pStyle w:val="BodyText"/>
        <w:spacing w:line="242" w:lineRule="auto"/>
        <w:ind w:left="1" w:right="145" w:firstLine="288"/>
        <w:jc w:val="both"/>
      </w:pPr>
      <w:bookmarkStart w:name="Artículo_4o" w:id="7"/>
      <w:bookmarkEnd w:id="7"/>
      <w:r>
        <w:rPr/>
      </w:r>
      <w:r>
        <w:rPr>
          <w:rFonts w:ascii="Arial" w:hAnsi="Arial"/>
          <w:b/>
        </w:rPr>
        <w:t>Artículo 4o.- </w:t>
      </w:r>
      <w:r>
        <w:rPr/>
        <w:t>El Fondo de Fiscalización y Recaudación estará</w:t>
      </w:r>
      <w:r>
        <w:rPr>
          <w:spacing w:val="18"/>
        </w:rPr>
        <w:t> </w:t>
      </w:r>
      <w:r>
        <w:rPr/>
        <w:t>conformado por un monto equivalente</w:t>
      </w:r>
      <w:r>
        <w:rPr>
          <w:spacing w:val="40"/>
        </w:rPr>
        <w:t> </w:t>
      </w:r>
      <w:r>
        <w:rPr/>
        <w:t>al 1.25% de la recaudación federal participable de cada ejercicio.</w:t>
      </w:r>
    </w:p>
    <w:p>
      <w:pPr>
        <w:pStyle w:val="BodyText"/>
        <w:spacing w:before="229"/>
        <w:ind w:left="1" w:right="146" w:firstLine="288"/>
        <w:jc w:val="both"/>
      </w:pPr>
      <w:r>
        <w:rPr/>
        <w:t>Las entidades que se ajusten a lo establecido en el artículo 10-A de esta Ley, recibirán</w:t>
      </w:r>
      <w:r>
        <w:rPr>
          <w:spacing w:val="-1"/>
        </w:rPr>
        <w:t> </w:t>
      </w:r>
      <w:r>
        <w:rPr/>
        <w:t>mensualmente un anticipo por concepto del Fondo a que se refiere este artículo, que ascenderá a la cantidad mensual promedio que corresponda a lo que la entidad recibió en el ejercicio de 2013 por concepto del Fondo de </w:t>
      </w:r>
      <w:r>
        <w:rPr>
          <w:spacing w:val="-2"/>
        </w:rPr>
        <w:t>Fiscalización.</w:t>
      </w:r>
    </w:p>
    <w:p>
      <w:pPr>
        <w:pStyle w:val="BodyText"/>
        <w:spacing w:before="229"/>
        <w:ind w:left="1" w:right="141" w:firstLine="288"/>
        <w:jc w:val="both"/>
      </w:pPr>
      <w:r>
        <w:rPr/>
        <w:t>Adicionalmente, de forma trimestral, se distribuirán los recursos de este Fondo, disminuyendo las cantidades entregadas mediante los anticipos señalados en el párrafo anterior, de acuerdo con la siguiente fórmula:</w:t>
      </w:r>
    </w:p>
    <w:p>
      <w:pPr>
        <w:pStyle w:val="BodyText"/>
        <w:spacing w:after="0"/>
        <w:jc w:val="both"/>
        <w:sectPr>
          <w:pgSz w:w="12250" w:h="15850"/>
          <w:pgMar w:header="724" w:footer="712" w:top="1880" w:bottom="900" w:left="1417" w:right="1275"/>
        </w:sectPr>
      </w:pPr>
    </w:p>
    <w:p>
      <w:pPr>
        <w:pStyle w:val="BodyText"/>
      </w:pPr>
    </w:p>
    <w:p>
      <w:pPr>
        <w:pStyle w:val="BodyText"/>
        <w:spacing w:before="67" w:after="1"/>
      </w:pPr>
    </w:p>
    <w:p>
      <w:pPr>
        <w:pStyle w:val="BodyText"/>
        <w:ind w:left="1187"/>
      </w:pPr>
      <w:r>
        <w:rPr/>
        <w:drawing>
          <wp:inline distT="0" distB="0" distL="0" distR="0">
            <wp:extent cx="4465320" cy="190500"/>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21" cstate="print"/>
                    <a:stretch>
                      <a:fillRect/>
                    </a:stretch>
                  </pic:blipFill>
                  <pic:spPr>
                    <a:xfrm>
                      <a:off x="0" y="0"/>
                      <a:ext cx="4465320" cy="190500"/>
                    </a:xfrm>
                    <a:prstGeom prst="rect">
                      <a:avLst/>
                    </a:prstGeom>
                  </pic:spPr>
                </pic:pic>
              </a:graphicData>
            </a:graphic>
          </wp:inline>
        </w:drawing>
      </w:r>
      <w:r>
        <w:rPr/>
      </w:r>
    </w:p>
    <w:p>
      <w:pPr>
        <w:pStyle w:val="BodyText"/>
        <w:spacing w:before="106"/>
        <w:rPr>
          <w:sz w:val="12"/>
        </w:rPr>
      </w:pPr>
    </w:p>
    <w:p>
      <w:pPr>
        <w:spacing w:line="275" w:lineRule="exact" w:before="0" w:after="11"/>
        <w:ind w:left="404" w:right="0" w:firstLine="0"/>
        <w:jc w:val="center"/>
        <w:rPr>
          <w:rFonts w:ascii="Times New Roman" w:hAnsi="Times New Roman"/>
          <w:i/>
          <w:position w:val="-8"/>
          <w:sz w:val="20"/>
        </w:rPr>
      </w:pPr>
      <w:r>
        <w:rPr>
          <w:rFonts w:ascii="Times New Roman" w:hAnsi="Times New Roman"/>
          <w:i/>
          <w:position w:val="5"/>
          <w:sz w:val="20"/>
        </w:rPr>
        <w:t>CV</w:t>
      </w:r>
      <w:r>
        <w:rPr>
          <w:rFonts w:ascii="Times New Roman" w:hAnsi="Times New Roman"/>
          <w:i/>
          <w:sz w:val="12"/>
        </w:rPr>
        <w:t>i</w:t>
      </w:r>
      <w:r>
        <w:rPr>
          <w:rFonts w:ascii="Times New Roman" w:hAnsi="Times New Roman"/>
          <w:sz w:val="12"/>
        </w:rPr>
        <w:t>,</w:t>
      </w:r>
      <w:r>
        <w:rPr>
          <w:rFonts w:ascii="Times New Roman" w:hAnsi="Times New Roman"/>
          <w:i/>
          <w:sz w:val="12"/>
        </w:rPr>
        <w:t>t</w:t>
      </w:r>
      <w:r>
        <w:rPr>
          <w:rFonts w:ascii="Symbol" w:hAnsi="Symbol"/>
          <w:sz w:val="12"/>
        </w:rPr>
        <w:t></w:t>
      </w:r>
      <w:r>
        <w:rPr>
          <w:rFonts w:ascii="Times New Roman" w:hAnsi="Times New Roman"/>
          <w:sz w:val="12"/>
        </w:rPr>
        <w:t>1</w:t>
      </w:r>
      <w:r>
        <w:rPr>
          <w:rFonts w:ascii="Times New Roman" w:hAnsi="Times New Roman"/>
          <w:spacing w:val="53"/>
          <w:sz w:val="12"/>
        </w:rPr>
        <w:t> </w:t>
      </w:r>
      <w:r>
        <w:rPr>
          <w:rFonts w:ascii="Times New Roman" w:hAnsi="Times New Roman"/>
          <w:i/>
          <w:spacing w:val="-10"/>
          <w:position w:val="-8"/>
          <w:sz w:val="20"/>
        </w:rPr>
        <w:t>n</w:t>
      </w:r>
    </w:p>
    <w:p>
      <w:pPr>
        <w:pStyle w:val="BodyText"/>
        <w:spacing w:line="20" w:lineRule="exact"/>
        <w:ind w:left="4608"/>
        <w:rPr>
          <w:rFonts w:ascii="Times New Roman"/>
          <w:sz w:val="2"/>
        </w:rPr>
      </w:pPr>
      <w:r>
        <w:rPr>
          <w:rFonts w:ascii="Times New Roman"/>
          <w:sz w:val="2"/>
        </w:rPr>
        <mc:AlternateContent>
          <mc:Choice Requires="wps">
            <w:drawing>
              <wp:inline distT="0" distB="0" distL="0" distR="0">
                <wp:extent cx="364490" cy="1905"/>
                <wp:effectExtent l="9525" t="0" r="0" b="7620"/>
                <wp:docPr id="34" name="Group 34"/>
                <wp:cNvGraphicFramePr>
                  <a:graphicFrameLocks/>
                </wp:cNvGraphicFramePr>
                <a:graphic>
                  <a:graphicData uri="http://schemas.microsoft.com/office/word/2010/wordprocessingGroup">
                    <wpg:wgp>
                      <wpg:cNvPr id="34" name="Group 34"/>
                      <wpg:cNvGrpSpPr/>
                      <wpg:grpSpPr>
                        <a:xfrm>
                          <a:off x="0" y="0"/>
                          <a:ext cx="364490" cy="1905"/>
                          <a:chExt cx="364490" cy="1905"/>
                        </a:xfrm>
                      </wpg:grpSpPr>
                      <wps:wsp>
                        <wps:cNvPr id="35" name="Graphic 35"/>
                        <wps:cNvSpPr/>
                        <wps:spPr>
                          <a:xfrm>
                            <a:off x="0" y="751"/>
                            <a:ext cx="364490" cy="1270"/>
                          </a:xfrm>
                          <a:custGeom>
                            <a:avLst/>
                            <a:gdLst/>
                            <a:ahLst/>
                            <a:cxnLst/>
                            <a:rect l="l" t="t" r="r" b="b"/>
                            <a:pathLst>
                              <a:path w="364490" h="0">
                                <a:moveTo>
                                  <a:pt x="0" y="0"/>
                                </a:moveTo>
                                <a:lnTo>
                                  <a:pt x="364303" y="0"/>
                                </a:lnTo>
                              </a:path>
                            </a:pathLst>
                          </a:custGeom>
                          <a:ln w="15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8.7pt;height:.15pt;mso-position-horizontal-relative:char;mso-position-vertical-relative:line" id="docshapegroup12" coordorigin="0,0" coordsize="574,3">
                <v:line style="position:absolute" from="0,1" to="574,1" stroked="true" strokeweight=".118425pt" strokecolor="#000000">
                  <v:stroke dashstyle="solid"/>
                </v:line>
              </v:group>
            </w:pict>
          </mc:Fallback>
        </mc:AlternateContent>
      </w:r>
      <w:r>
        <w:rPr>
          <w:rFonts w:ascii="Times New Roman"/>
          <w:sz w:val="2"/>
        </w:rPr>
      </w:r>
    </w:p>
    <w:p>
      <w:pPr>
        <w:pStyle w:val="BodyText"/>
        <w:spacing w:after="0" w:line="20" w:lineRule="exact"/>
        <w:rPr>
          <w:rFonts w:ascii="Times New Roman"/>
          <w:sz w:val="2"/>
        </w:rPr>
        <w:sectPr>
          <w:pgSz w:w="12250" w:h="15850"/>
          <w:pgMar w:header="724" w:footer="712" w:top="1880" w:bottom="900" w:left="1417" w:right="1275"/>
        </w:sectPr>
      </w:pPr>
    </w:p>
    <w:p>
      <w:pPr>
        <w:pStyle w:val="BodyText"/>
        <w:spacing w:line="146" w:lineRule="exact" w:before="124"/>
        <w:jc w:val="right"/>
        <w:rPr>
          <w:rFonts w:ascii="Symbol" w:hAnsi="Symbol"/>
        </w:rPr>
      </w:pPr>
      <w:r>
        <w:rPr>
          <w:rFonts w:ascii="Times New Roman" w:hAnsi="Times New Roman"/>
          <w:i/>
        </w:rPr>
        <w:t>C</w:t>
      </w:r>
      <w:r>
        <w:rPr>
          <w:rFonts w:ascii="Times New Roman" w:hAnsi="Times New Roman"/>
        </w:rPr>
        <w:t>1</w:t>
      </w:r>
      <w:r>
        <w:rPr>
          <w:rFonts w:ascii="Times New Roman" w:hAnsi="Times New Roman"/>
          <w:spacing w:val="33"/>
        </w:rPr>
        <w:t>  </w:t>
      </w:r>
      <w:r>
        <w:rPr>
          <w:rFonts w:ascii="Symbol" w:hAnsi="Symbol"/>
          <w:spacing w:val="-10"/>
        </w:rPr>
        <w:t></w:t>
      </w:r>
    </w:p>
    <w:p>
      <w:pPr>
        <w:spacing w:line="225" w:lineRule="exact" w:before="0"/>
        <w:ind w:left="206" w:right="0" w:firstLine="0"/>
        <w:jc w:val="left"/>
        <w:rPr>
          <w:rFonts w:ascii="Times New Roman"/>
          <w:i/>
          <w:sz w:val="20"/>
        </w:rPr>
      </w:pPr>
      <w:r>
        <w:rPr/>
        <w:br w:type="column"/>
      </w:r>
      <w:r>
        <w:rPr>
          <w:rFonts w:ascii="Times New Roman"/>
          <w:i/>
          <w:spacing w:val="-7"/>
          <w:sz w:val="20"/>
        </w:rPr>
        <w:t>PIB</w:t>
      </w:r>
    </w:p>
    <w:p>
      <w:pPr>
        <w:spacing w:line="101" w:lineRule="exact" w:before="0"/>
        <w:ind w:left="376" w:right="0" w:firstLine="0"/>
        <w:jc w:val="left"/>
        <w:rPr>
          <w:rFonts w:ascii="Times New Roman"/>
          <w:i/>
          <w:sz w:val="12"/>
        </w:rPr>
      </w:pPr>
      <w:r>
        <w:rPr/>
        <w:br w:type="column"/>
      </w:r>
      <w:r>
        <w:rPr>
          <w:rFonts w:ascii="Times New Roman"/>
          <w:i/>
          <w:spacing w:val="-10"/>
          <w:sz w:val="12"/>
        </w:rPr>
        <w:t>i</w:t>
      </w:r>
    </w:p>
    <w:p>
      <w:pPr>
        <w:spacing w:before="10"/>
        <w:ind w:left="0" w:right="0" w:firstLine="0"/>
        <w:jc w:val="left"/>
        <w:rPr>
          <w:rFonts w:ascii="Times New Roman" w:hAnsi="Times New Roman"/>
          <w:sz w:val="12"/>
        </w:rPr>
      </w:pPr>
      <w:r>
        <w:rPr>
          <w:rFonts w:ascii="Times New Roman" w:hAnsi="Times New Roman"/>
          <w:i/>
          <w:spacing w:val="-2"/>
          <w:sz w:val="12"/>
        </w:rPr>
        <w:t>i</w:t>
      </w:r>
      <w:r>
        <w:rPr>
          <w:rFonts w:ascii="Times New Roman" w:hAnsi="Times New Roman"/>
          <w:spacing w:val="-2"/>
          <w:sz w:val="12"/>
        </w:rPr>
        <w:t>,</w:t>
      </w:r>
      <w:r>
        <w:rPr>
          <w:rFonts w:ascii="Times New Roman" w:hAnsi="Times New Roman"/>
          <w:i/>
          <w:spacing w:val="-2"/>
          <w:sz w:val="12"/>
        </w:rPr>
        <w:t>t</w:t>
      </w:r>
      <w:r>
        <w:rPr>
          <w:rFonts w:ascii="Symbol" w:hAnsi="Symbol"/>
          <w:spacing w:val="-2"/>
          <w:sz w:val="12"/>
        </w:rPr>
        <w:t></w:t>
      </w:r>
      <w:r>
        <w:rPr>
          <w:rFonts w:ascii="Times New Roman" w:hAnsi="Times New Roman"/>
          <w:spacing w:val="-2"/>
          <w:sz w:val="12"/>
        </w:rPr>
        <w:t>1</w:t>
      </w:r>
    </w:p>
    <w:p>
      <w:pPr>
        <w:spacing w:after="0"/>
        <w:jc w:val="left"/>
        <w:rPr>
          <w:rFonts w:ascii="Times New Roman" w:hAnsi="Times New Roman"/>
          <w:sz w:val="12"/>
        </w:rPr>
        <w:sectPr>
          <w:type w:val="continuous"/>
          <w:pgSz w:w="12250" w:h="15850"/>
          <w:pgMar w:header="724" w:footer="712" w:top="1880" w:bottom="900" w:left="1417" w:right="1275"/>
          <w:cols w:num="3" w:equalWidth="0">
            <w:col w:w="4377" w:space="40"/>
            <w:col w:w="511" w:space="3"/>
            <w:col w:w="4627"/>
          </w:cols>
        </w:sectPr>
      </w:pPr>
    </w:p>
    <w:p>
      <w:pPr>
        <w:spacing w:line="132" w:lineRule="exact" w:before="0"/>
        <w:ind w:left="0" w:right="0" w:firstLine="0"/>
        <w:jc w:val="right"/>
        <w:rPr>
          <w:rFonts w:ascii="Times New Roman"/>
          <w:i/>
          <w:sz w:val="12"/>
        </w:rPr>
      </w:pPr>
      <w:r>
        <w:rPr>
          <w:rFonts w:ascii="Times New Roman"/>
          <w:i/>
          <w:spacing w:val="-5"/>
          <w:sz w:val="12"/>
        </w:rPr>
        <w:t>i</w:t>
      </w:r>
      <w:r>
        <w:rPr>
          <w:rFonts w:ascii="Times New Roman"/>
          <w:spacing w:val="-5"/>
          <w:sz w:val="12"/>
        </w:rPr>
        <w:t>,</w:t>
      </w:r>
      <w:r>
        <w:rPr>
          <w:rFonts w:ascii="Times New Roman"/>
          <w:i/>
          <w:spacing w:val="-5"/>
          <w:sz w:val="12"/>
        </w:rPr>
        <w:t>t</w:t>
      </w:r>
    </w:p>
    <w:p>
      <w:pPr>
        <w:spacing w:line="20" w:lineRule="exact"/>
        <w:ind w:left="214" w:right="0" w:firstLine="0"/>
        <w:rPr>
          <w:rFonts w:ascii="Times New Roman"/>
          <w:sz w:val="2"/>
        </w:rPr>
      </w:pPr>
      <w:r>
        <w:rPr/>
        <w:br w:type="column"/>
      </w:r>
      <w:r>
        <w:rPr>
          <w:rFonts w:ascii="Times New Roman"/>
          <w:sz w:val="2"/>
        </w:rPr>
        <mc:AlternateContent>
          <mc:Choice Requires="wps">
            <w:drawing>
              <wp:inline distT="0" distB="0" distL="0" distR="0">
                <wp:extent cx="694055" cy="1905"/>
                <wp:effectExtent l="9525" t="0" r="0" b="7620"/>
                <wp:docPr id="36" name="Group 36"/>
                <wp:cNvGraphicFramePr>
                  <a:graphicFrameLocks/>
                </wp:cNvGraphicFramePr>
                <a:graphic>
                  <a:graphicData uri="http://schemas.microsoft.com/office/word/2010/wordprocessingGroup">
                    <wpg:wgp>
                      <wpg:cNvPr id="36" name="Group 36"/>
                      <wpg:cNvGrpSpPr/>
                      <wpg:grpSpPr>
                        <a:xfrm>
                          <a:off x="0" y="0"/>
                          <a:ext cx="694055" cy="1905"/>
                          <a:chExt cx="694055" cy="1905"/>
                        </a:xfrm>
                      </wpg:grpSpPr>
                      <wps:wsp>
                        <wps:cNvPr id="37" name="Graphic 37"/>
                        <wps:cNvSpPr/>
                        <wps:spPr>
                          <a:xfrm>
                            <a:off x="0" y="751"/>
                            <a:ext cx="694055" cy="1270"/>
                          </a:xfrm>
                          <a:custGeom>
                            <a:avLst/>
                            <a:gdLst/>
                            <a:ahLst/>
                            <a:cxnLst/>
                            <a:rect l="l" t="t" r="r" b="b"/>
                            <a:pathLst>
                              <a:path w="694055" h="0">
                                <a:moveTo>
                                  <a:pt x="0" y="0"/>
                                </a:moveTo>
                                <a:lnTo>
                                  <a:pt x="693450" y="0"/>
                                </a:lnTo>
                              </a:path>
                            </a:pathLst>
                          </a:custGeom>
                          <a:ln w="15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65pt;height:.15pt;mso-position-horizontal-relative:char;mso-position-vertical-relative:line" id="docshapegroup13" coordorigin="0,0" coordsize="1093,3">
                <v:line style="position:absolute" from="0,1" to="1092,1" stroked="true" strokeweight=".118425pt" strokecolor="#000000">
                  <v:stroke dashstyle="solid"/>
                </v:line>
              </v:group>
            </w:pict>
          </mc:Fallback>
        </mc:AlternateContent>
      </w:r>
      <w:r>
        <w:rPr>
          <w:rFonts w:ascii="Times New Roman"/>
          <w:sz w:val="2"/>
        </w:rPr>
      </w:r>
    </w:p>
    <w:p>
      <w:pPr>
        <w:spacing w:line="175" w:lineRule="auto" w:before="2"/>
        <w:ind w:left="507" w:right="0" w:firstLine="0"/>
        <w:jc w:val="left"/>
        <w:rPr>
          <w:rFonts w:ascii="Times New Roman" w:hAnsi="Times New Roman"/>
          <w:i/>
          <w:position w:val="-8"/>
          <w:sz w:val="20"/>
        </w:rPr>
      </w:pPr>
      <w:r>
        <w:rPr>
          <w:rFonts w:ascii="Times New Roman" w:hAnsi="Times New Roman"/>
          <w:i/>
          <w:position w:val="-8"/>
          <w:sz w:val="20"/>
        </w:rPr>
        <mc:AlternateContent>
          <mc:Choice Requires="wps">
            <w:drawing>
              <wp:anchor distT="0" distB="0" distL="0" distR="0" allowOverlap="1" layoutInCell="1" locked="0" behindDoc="1" simplePos="0" relativeHeight="486325248">
                <wp:simplePos x="0" y="0"/>
                <wp:positionH relativeFrom="page">
                  <wp:posOffset>3883121</wp:posOffset>
                </wp:positionH>
                <wp:positionV relativeFrom="paragraph">
                  <wp:posOffset>166143</wp:posOffset>
                </wp:positionV>
                <wp:extent cx="364490"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364490" cy="1270"/>
                        </a:xfrm>
                        <a:custGeom>
                          <a:avLst/>
                          <a:gdLst/>
                          <a:ahLst/>
                          <a:cxnLst/>
                          <a:rect l="l" t="t" r="r" b="b"/>
                          <a:pathLst>
                            <a:path w="364490" h="0">
                              <a:moveTo>
                                <a:pt x="0" y="0"/>
                              </a:moveTo>
                              <a:lnTo>
                                <a:pt x="364303" y="0"/>
                              </a:lnTo>
                            </a:path>
                          </a:pathLst>
                        </a:custGeom>
                        <a:ln w="150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991232" from="305.757568pt,13.082173pt" to="334.442903pt,13.082173pt" stroked="true" strokeweight=".118425pt" strokecolor="#000000">
                <v:stroke dashstyle="solid"/>
                <w10:wrap type="none"/>
              </v:line>
            </w:pict>
          </mc:Fallback>
        </mc:AlternateContent>
      </w:r>
      <w:r>
        <w:rPr>
          <w:rFonts w:ascii="Times New Roman" w:hAnsi="Times New Roman"/>
          <w:i/>
          <w:position w:val="-8"/>
          <w:sz w:val="20"/>
        </w:rPr>
        <mc:AlternateContent>
          <mc:Choice Requires="wps">
            <w:drawing>
              <wp:anchor distT="0" distB="0" distL="0" distR="0" allowOverlap="1" layoutInCell="1" locked="0" behindDoc="0" simplePos="0" relativeHeight="15738880">
                <wp:simplePos x="0" y="0"/>
                <wp:positionH relativeFrom="page">
                  <wp:posOffset>3722950</wp:posOffset>
                </wp:positionH>
                <wp:positionV relativeFrom="paragraph">
                  <wp:posOffset>30176</wp:posOffset>
                </wp:positionV>
                <wp:extent cx="137795" cy="236854"/>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7795" cy="236854"/>
                        </a:xfrm>
                        <a:prstGeom prst="rect">
                          <a:avLst/>
                        </a:prstGeom>
                      </wps:spPr>
                      <wps:txbx>
                        <w:txbxContent>
                          <w:p>
                            <w:pPr>
                              <w:spacing w:before="4"/>
                              <w:ind w:left="0" w:right="0" w:firstLine="0"/>
                              <w:jc w:val="left"/>
                              <w:rPr>
                                <w:rFonts w:ascii="Symbol" w:hAnsi="Symbol"/>
                                <w:sz w:val="30"/>
                              </w:rPr>
                            </w:pPr>
                            <w:r>
                              <w:rPr>
                                <w:rFonts w:ascii="Symbol" w:hAnsi="Symbol"/>
                                <w:spacing w:val="-10"/>
                                <w:sz w:val="30"/>
                              </w:rPr>
                              <w:t></w:t>
                            </w:r>
                          </w:p>
                        </w:txbxContent>
                      </wps:txbx>
                      <wps:bodyPr wrap="square" lIns="0" tIns="0" rIns="0" bIns="0" rtlCol="0">
                        <a:noAutofit/>
                      </wps:bodyPr>
                    </wps:wsp>
                  </a:graphicData>
                </a:graphic>
              </wp:anchor>
            </w:drawing>
          </mc:Choice>
          <mc:Fallback>
            <w:pict>
              <v:shape style="position:absolute;margin-left:293.145691pt;margin-top:2.376065pt;width:10.85pt;height:18.650pt;mso-position-horizontal-relative:page;mso-position-vertical-relative:paragraph;z-index:15738880" type="#_x0000_t202" id="docshape14" filled="false" stroked="false">
                <v:textbox inset="0,0,0,0">
                  <w:txbxContent>
                    <w:p>
                      <w:pPr>
                        <w:spacing w:before="4"/>
                        <w:ind w:left="0" w:right="0" w:firstLine="0"/>
                        <w:jc w:val="left"/>
                        <w:rPr>
                          <w:rFonts w:ascii="Symbol" w:hAnsi="Symbol"/>
                          <w:sz w:val="30"/>
                        </w:rPr>
                      </w:pPr>
                      <w:r>
                        <w:rPr>
                          <w:rFonts w:ascii="Symbol" w:hAnsi="Symbol"/>
                          <w:spacing w:val="-10"/>
                          <w:sz w:val="30"/>
                        </w:rPr>
                        <w:t></w:t>
                      </w:r>
                    </w:p>
                  </w:txbxContent>
                </v:textbox>
                <w10:wrap type="none"/>
              </v:shape>
            </w:pict>
          </mc:Fallback>
        </mc:AlternateContent>
      </w:r>
      <w:r>
        <w:rPr>
          <w:rFonts w:ascii="Times New Roman" w:hAnsi="Times New Roman"/>
          <w:i/>
          <w:position w:val="5"/>
          <w:sz w:val="20"/>
        </w:rPr>
        <w:t>CV</w:t>
      </w:r>
      <w:r>
        <w:rPr>
          <w:rFonts w:ascii="Times New Roman" w:hAnsi="Times New Roman"/>
          <w:i/>
          <w:sz w:val="12"/>
        </w:rPr>
        <w:t>i</w:t>
      </w:r>
      <w:r>
        <w:rPr>
          <w:rFonts w:ascii="Times New Roman" w:hAnsi="Times New Roman"/>
          <w:sz w:val="12"/>
        </w:rPr>
        <w:t>,</w:t>
      </w:r>
      <w:r>
        <w:rPr>
          <w:rFonts w:ascii="Times New Roman" w:hAnsi="Times New Roman"/>
          <w:i/>
          <w:sz w:val="12"/>
        </w:rPr>
        <w:t>t</w:t>
      </w:r>
      <w:r>
        <w:rPr>
          <w:rFonts w:ascii="Symbol" w:hAnsi="Symbol"/>
          <w:sz w:val="12"/>
        </w:rPr>
        <w:t></w:t>
      </w:r>
      <w:r>
        <w:rPr>
          <w:rFonts w:ascii="Times New Roman" w:hAnsi="Times New Roman"/>
          <w:sz w:val="12"/>
        </w:rPr>
        <w:t>1</w:t>
      </w:r>
      <w:r>
        <w:rPr>
          <w:rFonts w:ascii="Times New Roman" w:hAnsi="Times New Roman"/>
          <w:spacing w:val="52"/>
          <w:sz w:val="12"/>
        </w:rPr>
        <w:t> </w:t>
      </w:r>
      <w:r>
        <w:rPr>
          <w:rFonts w:ascii="Times New Roman" w:hAnsi="Times New Roman"/>
          <w:i/>
          <w:spacing w:val="-10"/>
          <w:position w:val="-8"/>
          <w:sz w:val="20"/>
        </w:rPr>
        <w:t>n</w:t>
      </w:r>
    </w:p>
    <w:p>
      <w:pPr>
        <w:tabs>
          <w:tab w:pos="1170" w:val="left" w:leader="none"/>
        </w:tabs>
        <w:spacing w:line="83" w:lineRule="exact" w:before="0"/>
        <w:ind w:left="487" w:right="0" w:firstLine="0"/>
        <w:jc w:val="left"/>
        <w:rPr>
          <w:rFonts w:ascii="Times New Roman"/>
          <w:i/>
          <w:sz w:val="20"/>
        </w:rPr>
      </w:pPr>
      <w:r>
        <w:rPr>
          <w:rFonts w:ascii="Times New Roman"/>
          <w:i/>
          <w:spacing w:val="-5"/>
          <w:sz w:val="20"/>
        </w:rPr>
        <w:t>PIB</w:t>
      </w:r>
      <w:r>
        <w:rPr>
          <w:rFonts w:ascii="Times New Roman"/>
          <w:i/>
          <w:sz w:val="20"/>
        </w:rPr>
        <w:tab/>
      </w:r>
      <w:r>
        <w:rPr>
          <w:rFonts w:ascii="Times New Roman"/>
          <w:i/>
          <w:spacing w:val="-10"/>
          <w:sz w:val="20"/>
          <w:vertAlign w:val="superscript"/>
        </w:rPr>
        <w:t>i</w:t>
      </w:r>
    </w:p>
    <w:p>
      <w:pPr>
        <w:spacing w:after="0" w:line="83" w:lineRule="exact"/>
        <w:jc w:val="left"/>
        <w:rPr>
          <w:rFonts w:ascii="Times New Roman"/>
          <w:i/>
          <w:sz w:val="20"/>
        </w:rPr>
        <w:sectPr>
          <w:type w:val="continuous"/>
          <w:pgSz w:w="12250" w:h="15850"/>
          <w:pgMar w:header="724" w:footer="712" w:top="1880" w:bottom="900" w:left="1417" w:right="1275"/>
          <w:cols w:num="2" w:equalWidth="0">
            <w:col w:w="4185" w:space="40"/>
            <w:col w:w="5333"/>
          </w:cols>
        </w:sectPr>
      </w:pPr>
    </w:p>
    <w:p>
      <w:pPr>
        <w:pStyle w:val="BodyText"/>
        <w:rPr>
          <w:rFonts w:ascii="Times New Roman"/>
          <w:i/>
          <w:sz w:val="24"/>
        </w:rPr>
      </w:pPr>
    </w:p>
    <w:p>
      <w:pPr>
        <w:pStyle w:val="BodyText"/>
        <w:spacing w:before="21"/>
        <w:rPr>
          <w:rFonts w:ascii="Times New Roman"/>
          <w:i/>
          <w:sz w:val="24"/>
        </w:rPr>
      </w:pPr>
    </w:p>
    <w:p>
      <w:pPr>
        <w:tabs>
          <w:tab w:pos="516" w:val="left" w:leader="none"/>
        </w:tabs>
        <w:spacing w:line="120" w:lineRule="exact" w:before="0"/>
        <w:ind w:left="0" w:right="0" w:firstLine="0"/>
        <w:jc w:val="right"/>
        <w:rPr>
          <w:rFonts w:ascii="Symbol" w:hAnsi="Symbol"/>
          <w:sz w:val="24"/>
        </w:rPr>
      </w:pPr>
      <w:r>
        <w:rPr>
          <w:rFonts w:ascii="Times New Roman" w:hAnsi="Times New Roman"/>
          <w:i/>
          <w:spacing w:val="-5"/>
          <w:sz w:val="24"/>
        </w:rPr>
        <w:t>C</w:t>
      </w:r>
      <w:r>
        <w:rPr>
          <w:rFonts w:ascii="Times New Roman" w:hAnsi="Times New Roman"/>
          <w:spacing w:val="-5"/>
          <w:sz w:val="24"/>
        </w:rPr>
        <w:t>2</w:t>
      </w:r>
      <w:r>
        <w:rPr>
          <w:rFonts w:ascii="Times New Roman" w:hAnsi="Times New Roman"/>
          <w:sz w:val="24"/>
        </w:rPr>
        <w:tab/>
      </w:r>
      <w:r>
        <w:rPr>
          <w:rFonts w:ascii="Symbol" w:hAnsi="Symbol"/>
          <w:spacing w:val="-12"/>
          <w:sz w:val="24"/>
        </w:rPr>
        <w:t></w:t>
      </w:r>
    </w:p>
    <w:p>
      <w:pPr>
        <w:tabs>
          <w:tab w:pos="545" w:val="left" w:leader="none"/>
        </w:tabs>
        <w:spacing w:line="146" w:lineRule="exact" w:before="0"/>
        <w:ind w:left="61" w:right="0" w:firstLine="0"/>
        <w:jc w:val="left"/>
        <w:rPr>
          <w:rFonts w:ascii="Times New Roman" w:hAnsi="Times New Roman"/>
          <w:sz w:val="12"/>
        </w:rPr>
      </w:pPr>
      <w:r>
        <w:rPr/>
        <w:br w:type="column"/>
      </w:r>
      <w:r>
        <w:rPr>
          <w:rFonts w:ascii="Times New Roman" w:hAnsi="Times New Roman"/>
          <w:i/>
          <w:spacing w:val="-10"/>
          <w:position w:val="1"/>
          <w:sz w:val="12"/>
        </w:rPr>
        <w:t>i</w:t>
      </w:r>
      <w:r>
        <w:rPr>
          <w:rFonts w:ascii="Times New Roman" w:hAnsi="Times New Roman"/>
          <w:i/>
          <w:position w:val="1"/>
          <w:sz w:val="12"/>
        </w:rPr>
        <w:tab/>
      </w:r>
      <w:r>
        <w:rPr>
          <w:rFonts w:ascii="Times New Roman" w:hAnsi="Times New Roman"/>
          <w:i/>
          <w:spacing w:val="-2"/>
          <w:sz w:val="12"/>
        </w:rPr>
        <w:t>i</w:t>
      </w:r>
      <w:r>
        <w:rPr>
          <w:rFonts w:ascii="Times New Roman" w:hAnsi="Times New Roman"/>
          <w:spacing w:val="-2"/>
          <w:sz w:val="12"/>
        </w:rPr>
        <w:t>,</w:t>
      </w:r>
      <w:r>
        <w:rPr>
          <w:rFonts w:ascii="Times New Roman" w:hAnsi="Times New Roman"/>
          <w:i/>
          <w:spacing w:val="-2"/>
          <w:sz w:val="12"/>
        </w:rPr>
        <w:t>t</w:t>
      </w:r>
      <w:r>
        <w:rPr>
          <w:rFonts w:ascii="Symbol" w:hAnsi="Symbol"/>
          <w:spacing w:val="-2"/>
          <w:sz w:val="12"/>
        </w:rPr>
        <w:t></w:t>
      </w:r>
      <w:r>
        <w:rPr>
          <w:rFonts w:ascii="Times New Roman" w:hAnsi="Times New Roman"/>
          <w:spacing w:val="-2"/>
          <w:sz w:val="12"/>
        </w:rPr>
        <w:t>1</w:t>
      </w:r>
    </w:p>
    <w:p>
      <w:pPr>
        <w:pStyle w:val="BodyText"/>
        <w:spacing w:before="136"/>
        <w:rPr>
          <w:rFonts w:ascii="Times New Roman"/>
          <w:sz w:val="12"/>
        </w:rPr>
      </w:pPr>
    </w:p>
    <w:p>
      <w:pPr>
        <w:spacing w:line="273" w:lineRule="exact" w:before="0"/>
        <w:ind w:left="160" w:right="0" w:firstLine="0"/>
        <w:jc w:val="left"/>
        <w:rPr>
          <w:rFonts w:ascii="Times New Roman" w:hAnsi="Times New Roman"/>
          <w:i/>
          <w:sz w:val="14"/>
        </w:rPr>
      </w:pPr>
      <w:r>
        <w:rPr>
          <w:rFonts w:ascii="Times New Roman" w:hAnsi="Times New Roman"/>
          <w:i/>
          <w:spacing w:val="-5"/>
          <w:position w:val="6"/>
          <w:sz w:val="24"/>
        </w:rPr>
        <w:t>VM</w:t>
      </w:r>
      <w:r>
        <w:rPr>
          <w:rFonts w:ascii="Times New Roman" w:hAnsi="Times New Roman"/>
          <w:i/>
          <w:spacing w:val="-33"/>
          <w:position w:val="6"/>
          <w:sz w:val="24"/>
        </w:rPr>
        <w:t> </w:t>
      </w:r>
      <w:r>
        <w:rPr>
          <w:rFonts w:ascii="Times New Roman" w:hAnsi="Times New Roman"/>
          <w:i/>
          <w:spacing w:val="-2"/>
          <w:sz w:val="14"/>
        </w:rPr>
        <w:t>i</w:t>
      </w:r>
      <w:r>
        <w:rPr>
          <w:rFonts w:ascii="Times New Roman" w:hAnsi="Times New Roman"/>
          <w:spacing w:val="-2"/>
          <w:sz w:val="14"/>
        </w:rPr>
        <w:t>,</w:t>
      </w:r>
      <w:r>
        <w:rPr>
          <w:rFonts w:ascii="Times New Roman" w:hAnsi="Times New Roman"/>
          <w:i/>
          <w:spacing w:val="-2"/>
          <w:sz w:val="14"/>
        </w:rPr>
        <w:t>t</w:t>
      </w:r>
      <w:r>
        <w:rPr>
          <w:rFonts w:ascii="Symbol" w:hAnsi="Symbol"/>
          <w:spacing w:val="-2"/>
          <w:sz w:val="14"/>
        </w:rPr>
        <w:t></w:t>
      </w:r>
      <w:r>
        <w:rPr>
          <w:rFonts w:ascii="Times New Roman" w:hAnsi="Times New Roman"/>
          <w:spacing w:val="-2"/>
          <w:sz w:val="14"/>
        </w:rPr>
        <w:t>1</w:t>
      </w:r>
      <w:r>
        <w:rPr>
          <w:rFonts w:ascii="Times New Roman" w:hAnsi="Times New Roman"/>
          <w:i/>
          <w:spacing w:val="-2"/>
          <w:position w:val="6"/>
          <w:sz w:val="24"/>
        </w:rPr>
        <w:t>n</w:t>
      </w:r>
      <w:r>
        <w:rPr>
          <w:rFonts w:ascii="Times New Roman" w:hAnsi="Times New Roman"/>
          <w:i/>
          <w:spacing w:val="-2"/>
          <w:sz w:val="14"/>
        </w:rPr>
        <w:t>i</w:t>
      </w:r>
    </w:p>
    <w:p>
      <w:pPr>
        <w:spacing w:after="0" w:line="273" w:lineRule="exact"/>
        <w:jc w:val="left"/>
        <w:rPr>
          <w:rFonts w:ascii="Times New Roman" w:hAnsi="Times New Roman"/>
          <w:i/>
          <w:sz w:val="14"/>
        </w:rPr>
        <w:sectPr>
          <w:type w:val="continuous"/>
          <w:pgSz w:w="12250" w:h="15850"/>
          <w:pgMar w:header="724" w:footer="712" w:top="1880" w:bottom="900" w:left="1417" w:right="1275"/>
          <w:cols w:num="2" w:equalWidth="0">
            <w:col w:w="4434" w:space="40"/>
            <w:col w:w="5084"/>
          </w:cols>
        </w:sectPr>
      </w:pPr>
    </w:p>
    <w:p>
      <w:pPr>
        <w:tabs>
          <w:tab w:pos="493" w:val="left" w:leader="none"/>
          <w:tab w:pos="1389" w:val="left" w:leader="none"/>
        </w:tabs>
        <w:spacing w:line="226" w:lineRule="exact" w:before="0"/>
        <w:ind w:left="66" w:right="0" w:firstLine="0"/>
        <w:jc w:val="center"/>
        <w:rPr>
          <w:rFonts w:ascii="Times New Roman" w:hAnsi="Times New Roman"/>
          <w:i/>
          <w:position w:val="-12"/>
          <w:sz w:val="24"/>
        </w:rPr>
      </w:pPr>
      <w:r>
        <w:rPr>
          <w:rFonts w:ascii="Times New Roman" w:hAnsi="Times New Roman"/>
          <w:i/>
          <w:position w:val="-12"/>
          <w:sz w:val="24"/>
        </w:rPr>
        <mc:AlternateContent>
          <mc:Choice Requires="wps">
            <w:drawing>
              <wp:anchor distT="0" distB="0" distL="0" distR="0" allowOverlap="1" layoutInCell="1" locked="0" behindDoc="1" simplePos="0" relativeHeight="486325760">
                <wp:simplePos x="0" y="0"/>
                <wp:positionH relativeFrom="page">
                  <wp:posOffset>3760951</wp:posOffset>
                </wp:positionH>
                <wp:positionV relativeFrom="paragraph">
                  <wp:posOffset>43462</wp:posOffset>
                </wp:positionV>
                <wp:extent cx="700405"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700405" cy="1270"/>
                        </a:xfrm>
                        <a:custGeom>
                          <a:avLst/>
                          <a:gdLst/>
                          <a:ahLst/>
                          <a:cxnLst/>
                          <a:rect l="l" t="t" r="r" b="b"/>
                          <a:pathLst>
                            <a:path w="700405" h="0">
                              <a:moveTo>
                                <a:pt x="0" y="0"/>
                              </a:moveTo>
                              <a:lnTo>
                                <a:pt x="699811" y="0"/>
                              </a:lnTo>
                            </a:path>
                          </a:pathLst>
                        </a:custGeom>
                        <a:ln w="17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990720" from="296.137939pt,3.422216pt" to="351.241237pt,3.422248pt" stroked="true" strokeweight=".137874pt" strokecolor="#000000">
                <v:stroke dashstyle="solid"/>
                <w10:wrap type="none"/>
              </v:line>
            </w:pict>
          </mc:Fallback>
        </mc:AlternateContent>
      </w:r>
      <w:r>
        <w:rPr>
          <w:rFonts w:ascii="Times New Roman" w:hAnsi="Times New Roman"/>
          <w:i/>
          <w:spacing w:val="-5"/>
          <w:sz w:val="14"/>
        </w:rPr>
        <w:t>i</w:t>
      </w:r>
      <w:r>
        <w:rPr>
          <w:rFonts w:ascii="Times New Roman" w:hAnsi="Times New Roman"/>
          <w:spacing w:val="-5"/>
          <w:sz w:val="14"/>
        </w:rPr>
        <w:t>,</w:t>
      </w:r>
      <w:r>
        <w:rPr>
          <w:rFonts w:ascii="Times New Roman" w:hAnsi="Times New Roman"/>
          <w:i/>
          <w:spacing w:val="-5"/>
          <w:sz w:val="14"/>
        </w:rPr>
        <w:t>t</w:t>
      </w:r>
      <w:r>
        <w:rPr>
          <w:rFonts w:ascii="Times New Roman" w:hAnsi="Times New Roman"/>
          <w:i/>
          <w:sz w:val="14"/>
        </w:rPr>
        <w:tab/>
      </w:r>
      <w:r>
        <w:rPr>
          <w:rFonts w:ascii="Symbol" w:hAnsi="Symbol"/>
          <w:spacing w:val="-5"/>
          <w:position w:val="-17"/>
          <w:sz w:val="36"/>
        </w:rPr>
        <w:t></w:t>
      </w:r>
      <w:r>
        <w:rPr>
          <w:rFonts w:ascii="Times New Roman" w:hAnsi="Times New Roman"/>
          <w:i/>
          <w:spacing w:val="-5"/>
          <w:position w:val="-12"/>
          <w:sz w:val="24"/>
        </w:rPr>
        <w:t>VM</w:t>
      </w:r>
      <w:r>
        <w:rPr>
          <w:rFonts w:ascii="Times New Roman" w:hAnsi="Times New Roman"/>
          <w:i/>
          <w:position w:val="-12"/>
          <w:sz w:val="24"/>
        </w:rPr>
        <w:tab/>
      </w:r>
      <w:r>
        <w:rPr>
          <w:rFonts w:ascii="Times New Roman" w:hAnsi="Times New Roman"/>
          <w:i/>
          <w:spacing w:val="-10"/>
          <w:position w:val="-12"/>
          <w:sz w:val="24"/>
        </w:rPr>
        <w:t>n</w:t>
      </w:r>
    </w:p>
    <w:p>
      <w:pPr>
        <w:spacing w:line="171" w:lineRule="exact" w:before="0"/>
        <w:ind w:left="1156" w:right="0" w:firstLine="0"/>
        <w:jc w:val="center"/>
        <w:rPr>
          <w:rFonts w:ascii="Times New Roman" w:hAnsi="Times New Roman"/>
          <w:i/>
          <w:sz w:val="14"/>
        </w:rPr>
      </w:pPr>
      <w:r>
        <w:rPr>
          <w:rFonts w:ascii="Times New Roman" w:hAnsi="Times New Roman"/>
          <w:i/>
          <w:sz w:val="14"/>
        </w:rPr>
        <w:t>i</w:t>
      </w:r>
      <w:r>
        <w:rPr>
          <w:rFonts w:ascii="Times New Roman" w:hAnsi="Times New Roman"/>
          <w:sz w:val="14"/>
        </w:rPr>
        <w:t>,</w:t>
      </w:r>
      <w:r>
        <w:rPr>
          <w:rFonts w:ascii="Times New Roman" w:hAnsi="Times New Roman"/>
          <w:i/>
          <w:sz w:val="14"/>
        </w:rPr>
        <w:t>t</w:t>
      </w:r>
      <w:r>
        <w:rPr>
          <w:rFonts w:ascii="Symbol" w:hAnsi="Symbol"/>
          <w:sz w:val="14"/>
        </w:rPr>
        <w:t></w:t>
      </w:r>
      <w:r>
        <w:rPr>
          <w:rFonts w:ascii="Times New Roman" w:hAnsi="Times New Roman"/>
          <w:sz w:val="14"/>
        </w:rPr>
        <w:t>1</w:t>
      </w:r>
      <w:r>
        <w:rPr>
          <w:rFonts w:ascii="Times New Roman" w:hAnsi="Times New Roman"/>
          <w:spacing w:val="64"/>
          <w:w w:val="150"/>
          <w:sz w:val="14"/>
        </w:rPr>
        <w:t> </w:t>
      </w:r>
      <w:r>
        <w:rPr>
          <w:rFonts w:ascii="Times New Roman" w:hAnsi="Times New Roman"/>
          <w:i/>
          <w:spacing w:val="-10"/>
          <w:sz w:val="14"/>
        </w:rPr>
        <w:t>i</w:t>
      </w:r>
    </w:p>
    <w:p>
      <w:pPr>
        <w:spacing w:before="6"/>
        <w:ind w:left="1156" w:right="1429" w:firstLine="0"/>
        <w:jc w:val="center"/>
        <w:rPr>
          <w:rFonts w:ascii="Times New Roman"/>
          <w:i/>
          <w:sz w:val="14"/>
        </w:rPr>
      </w:pPr>
      <w:r>
        <w:rPr>
          <w:rFonts w:ascii="Times New Roman"/>
          <w:i/>
          <w:spacing w:val="-10"/>
          <w:sz w:val="14"/>
        </w:rPr>
        <w:t>i</w:t>
      </w:r>
    </w:p>
    <w:p>
      <w:pPr>
        <w:pStyle w:val="BodyText"/>
        <w:spacing w:before="6"/>
        <w:rPr>
          <w:rFonts w:ascii="Times New Roman"/>
          <w:i/>
          <w:sz w:val="19"/>
        </w:rPr>
      </w:pPr>
      <w:r>
        <w:rPr>
          <w:rFonts w:ascii="Times New Roman"/>
          <w:i/>
          <w:sz w:val="19"/>
        </w:rPr>
        <w:drawing>
          <wp:anchor distT="0" distB="0" distL="0" distR="0" allowOverlap="1" layoutInCell="1" locked="0" behindDoc="1" simplePos="0" relativeHeight="487596032">
            <wp:simplePos x="0" y="0"/>
            <wp:positionH relativeFrom="page">
              <wp:posOffset>3299459</wp:posOffset>
            </wp:positionH>
            <wp:positionV relativeFrom="paragraph">
              <wp:posOffset>158137</wp:posOffset>
            </wp:positionV>
            <wp:extent cx="1181099" cy="723900"/>
            <wp:effectExtent l="0" t="0" r="0" b="0"/>
            <wp:wrapTopAndBottom/>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81099" cy="723900"/>
                    </a:xfrm>
                    <a:prstGeom prst="rect">
                      <a:avLst/>
                    </a:prstGeom>
                  </pic:spPr>
                </pic:pic>
              </a:graphicData>
            </a:graphic>
          </wp:anchor>
        </w:drawing>
      </w:r>
      <w:r>
        <w:rPr>
          <w:rFonts w:ascii="Times New Roman"/>
          <w:i/>
          <w:sz w:val="19"/>
        </w:rPr>
        <w:drawing>
          <wp:anchor distT="0" distB="0" distL="0" distR="0" allowOverlap="1" layoutInCell="1" locked="0" behindDoc="1" simplePos="0" relativeHeight="487596544">
            <wp:simplePos x="0" y="0"/>
            <wp:positionH relativeFrom="page">
              <wp:posOffset>3349625</wp:posOffset>
            </wp:positionH>
            <wp:positionV relativeFrom="paragraph">
              <wp:posOffset>1026817</wp:posOffset>
            </wp:positionV>
            <wp:extent cx="1082039" cy="533400"/>
            <wp:effectExtent l="0" t="0" r="0" b="0"/>
            <wp:wrapTopAndBottom/>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082039" cy="533400"/>
                    </a:xfrm>
                    <a:prstGeom prst="rect">
                      <a:avLst/>
                    </a:prstGeom>
                  </pic:spPr>
                </pic:pic>
              </a:graphicData>
            </a:graphic>
          </wp:anchor>
        </w:drawing>
      </w:r>
    </w:p>
    <w:p>
      <w:pPr>
        <w:pStyle w:val="BodyText"/>
        <w:spacing w:before="8"/>
        <w:rPr>
          <w:rFonts w:ascii="Times New Roman"/>
          <w:i/>
          <w:sz w:val="17"/>
        </w:rPr>
      </w:pPr>
    </w:p>
    <w:p>
      <w:pPr>
        <w:pStyle w:val="BodyText"/>
        <w:spacing w:before="1"/>
        <w:rPr>
          <w:rFonts w:ascii="Times New Roman"/>
          <w:i/>
        </w:rPr>
      </w:pPr>
    </w:p>
    <w:p>
      <w:pPr>
        <w:pStyle w:val="BodyText"/>
        <w:ind w:left="577"/>
      </w:pPr>
      <w:r>
        <w:rPr>
          <w:spacing w:val="-2"/>
        </w:rPr>
        <w:t>Donde:</w:t>
      </w:r>
    </w:p>
    <w:p>
      <w:pPr>
        <w:pStyle w:val="BodyText"/>
        <w:spacing w:before="229"/>
        <w:ind w:left="577"/>
      </w:pPr>
      <w:r>
        <w:rPr/>
        <w:t>T</w:t>
      </w:r>
      <w:r>
        <w:rPr>
          <w:position w:val="-3"/>
        </w:rPr>
        <w:t>i,t</w:t>
      </w:r>
      <w:r>
        <w:rPr>
          <w:spacing w:val="-5"/>
          <w:position w:val="-3"/>
        </w:rPr>
        <w:t> </w:t>
      </w:r>
      <w:r>
        <w:rPr/>
        <w:t>es</w:t>
      </w:r>
      <w:r>
        <w:rPr>
          <w:spacing w:val="-4"/>
        </w:rPr>
        <w:t> </w:t>
      </w:r>
      <w:r>
        <w:rPr/>
        <w:t>la</w:t>
      </w:r>
      <w:r>
        <w:rPr>
          <w:spacing w:val="-5"/>
        </w:rPr>
        <w:t> </w:t>
      </w:r>
      <w:r>
        <w:rPr/>
        <w:t>participación</w:t>
      </w:r>
      <w:r>
        <w:rPr>
          <w:spacing w:val="-6"/>
        </w:rPr>
        <w:t> </w:t>
      </w:r>
      <w:r>
        <w:rPr/>
        <w:t>de</w:t>
      </w:r>
      <w:r>
        <w:rPr>
          <w:spacing w:val="-5"/>
        </w:rPr>
        <w:t> </w:t>
      </w:r>
      <w:r>
        <w:rPr/>
        <w:t>la</w:t>
      </w:r>
      <w:r>
        <w:rPr>
          <w:spacing w:val="-3"/>
        </w:rPr>
        <w:t> </w:t>
      </w:r>
      <w:r>
        <w:rPr/>
        <w:t>entidad</w:t>
      </w:r>
      <w:r>
        <w:rPr>
          <w:spacing w:val="-5"/>
        </w:rPr>
        <w:t> </w:t>
      </w:r>
      <w:r>
        <w:rPr/>
        <w:t>i</w:t>
      </w:r>
      <w:r>
        <w:rPr>
          <w:spacing w:val="-4"/>
        </w:rPr>
        <w:t> </w:t>
      </w:r>
      <w:r>
        <w:rPr/>
        <w:t>en</w:t>
      </w:r>
      <w:r>
        <w:rPr>
          <w:spacing w:val="-4"/>
        </w:rPr>
        <w:t> </w:t>
      </w:r>
      <w:r>
        <w:rPr/>
        <w:t>el</w:t>
      </w:r>
      <w:r>
        <w:rPr>
          <w:spacing w:val="-4"/>
        </w:rPr>
        <w:t> </w:t>
      </w:r>
      <w:r>
        <w:rPr/>
        <w:t>año</w:t>
      </w:r>
      <w:r>
        <w:rPr>
          <w:spacing w:val="-3"/>
        </w:rPr>
        <w:t> </w:t>
      </w:r>
      <w:r>
        <w:rPr>
          <w:spacing w:val="-5"/>
        </w:rPr>
        <w:t>t.</w:t>
      </w:r>
    </w:p>
    <w:p>
      <w:pPr>
        <w:pStyle w:val="BodyText"/>
        <w:spacing w:before="229"/>
        <w:ind w:left="289" w:firstLine="288"/>
      </w:pPr>
      <w:r>
        <w:rPr/>
        <w:t>T</w:t>
      </w:r>
      <w:r>
        <w:rPr>
          <w:position w:val="-3"/>
        </w:rPr>
        <w:t>i,13</w:t>
      </w:r>
      <w:r>
        <w:rPr>
          <w:spacing w:val="40"/>
          <w:position w:val="-3"/>
        </w:rPr>
        <w:t> </w:t>
      </w:r>
      <w:r>
        <w:rPr/>
        <w:t>es</w:t>
      </w:r>
      <w:r>
        <w:rPr>
          <w:spacing w:val="40"/>
        </w:rPr>
        <w:t> </w:t>
      </w:r>
      <w:r>
        <w:rPr/>
        <w:t>la</w:t>
      </w:r>
      <w:r>
        <w:rPr>
          <w:spacing w:val="40"/>
        </w:rPr>
        <w:t> </w:t>
      </w:r>
      <w:r>
        <w:rPr/>
        <w:t>participación</w:t>
      </w:r>
      <w:r>
        <w:rPr>
          <w:spacing w:val="40"/>
        </w:rPr>
        <w:t> </w:t>
      </w:r>
      <w:r>
        <w:rPr/>
        <w:t>que</w:t>
      </w:r>
      <w:r>
        <w:rPr>
          <w:spacing w:val="40"/>
        </w:rPr>
        <w:t> </w:t>
      </w:r>
      <w:r>
        <w:rPr/>
        <w:t>la</w:t>
      </w:r>
      <w:r>
        <w:rPr>
          <w:spacing w:val="40"/>
        </w:rPr>
        <w:t> </w:t>
      </w:r>
      <w:r>
        <w:rPr/>
        <w:t>entidad</w:t>
      </w:r>
      <w:r>
        <w:rPr>
          <w:spacing w:val="40"/>
        </w:rPr>
        <w:t> </w:t>
      </w:r>
      <w:r>
        <w:rPr/>
        <w:t>i</w:t>
      </w:r>
      <w:r>
        <w:rPr>
          <w:spacing w:val="40"/>
        </w:rPr>
        <w:t> </w:t>
      </w:r>
      <w:r>
        <w:rPr/>
        <w:t>recibió</w:t>
      </w:r>
      <w:r>
        <w:rPr>
          <w:spacing w:val="40"/>
        </w:rPr>
        <w:t> </w:t>
      </w:r>
      <w:r>
        <w:rPr/>
        <w:t>en</w:t>
      </w:r>
      <w:r>
        <w:rPr>
          <w:spacing w:val="40"/>
        </w:rPr>
        <w:t> </w:t>
      </w:r>
      <w:r>
        <w:rPr/>
        <w:t>el</w:t>
      </w:r>
      <w:r>
        <w:rPr>
          <w:spacing w:val="40"/>
        </w:rPr>
        <w:t> </w:t>
      </w:r>
      <w:r>
        <w:rPr/>
        <w:t>año</w:t>
      </w:r>
      <w:r>
        <w:rPr>
          <w:spacing w:val="40"/>
        </w:rPr>
        <w:t> </w:t>
      </w:r>
      <w:r>
        <w:rPr/>
        <w:t>2013,</w:t>
      </w:r>
      <w:r>
        <w:rPr>
          <w:spacing w:val="40"/>
        </w:rPr>
        <w:t> </w:t>
      </w:r>
      <w:r>
        <w:rPr/>
        <w:t>por</w:t>
      </w:r>
      <w:r>
        <w:rPr>
          <w:spacing w:val="40"/>
        </w:rPr>
        <w:t> </w:t>
      </w:r>
      <w:r>
        <w:rPr/>
        <w:t>concepto</w:t>
      </w:r>
      <w:r>
        <w:rPr>
          <w:spacing w:val="40"/>
        </w:rPr>
        <w:t> </w:t>
      </w:r>
      <w:r>
        <w:rPr/>
        <w:t>del</w:t>
      </w:r>
      <w:r>
        <w:rPr>
          <w:spacing w:val="40"/>
        </w:rPr>
        <w:t> </w:t>
      </w:r>
      <w:r>
        <w:rPr/>
        <w:t>Fondo</w:t>
      </w:r>
      <w:r>
        <w:rPr>
          <w:spacing w:val="40"/>
        </w:rPr>
        <w:t> </w:t>
      </w:r>
      <w:r>
        <w:rPr/>
        <w:t>de </w:t>
      </w:r>
      <w:r>
        <w:rPr>
          <w:spacing w:val="-2"/>
        </w:rPr>
        <w:t>Fiscalización.</w:t>
      </w:r>
    </w:p>
    <w:p>
      <w:pPr>
        <w:pStyle w:val="BodyText"/>
        <w:spacing w:before="1"/>
      </w:pPr>
    </w:p>
    <w:p>
      <w:pPr>
        <w:pStyle w:val="BodyText"/>
        <w:ind w:left="289" w:right="149" w:firstLine="288"/>
      </w:pPr>
      <w:r>
        <w:rPr>
          <w:rFonts w:ascii="Symbol" w:hAnsi="Symbol"/>
          <w:sz w:val="24"/>
        </w:rPr>
        <w:t></w:t>
      </w:r>
      <w:r>
        <w:rPr/>
        <w:t>FOFIR</w:t>
      </w:r>
      <w:r>
        <w:rPr>
          <w:position w:val="-3"/>
        </w:rPr>
        <w:t>13,t </w:t>
      </w:r>
      <w:r>
        <w:rPr/>
        <w:t>es la diferencia entre el Fondo de Fiscalización y</w:t>
      </w:r>
      <w:r>
        <w:rPr>
          <w:spacing w:val="-2"/>
        </w:rPr>
        <w:t> </w:t>
      </w:r>
      <w:r>
        <w:rPr/>
        <w:t>Recaudación del año</w:t>
      </w:r>
      <w:r>
        <w:rPr>
          <w:spacing w:val="-1"/>
        </w:rPr>
        <w:t> </w:t>
      </w:r>
      <w:r>
        <w:rPr/>
        <w:t>t y</w:t>
      </w:r>
      <w:r>
        <w:rPr>
          <w:spacing w:val="-2"/>
        </w:rPr>
        <w:t> </w:t>
      </w:r>
      <w:r>
        <w:rPr/>
        <w:t>el</w:t>
      </w:r>
      <w:r>
        <w:rPr>
          <w:spacing w:val="-2"/>
        </w:rPr>
        <w:t> </w:t>
      </w:r>
      <w:r>
        <w:rPr/>
        <w:t>Fondo de Fiscalización del año 2013.</w:t>
      </w:r>
    </w:p>
    <w:p>
      <w:pPr>
        <w:pStyle w:val="BodyText"/>
        <w:spacing w:before="230"/>
        <w:ind w:left="289" w:firstLine="288"/>
      </w:pPr>
      <w:r>
        <w:rPr/>
        <w:t>CV</w:t>
      </w:r>
      <w:r>
        <w:rPr>
          <w:position w:val="-3"/>
        </w:rPr>
        <w:t>i,t</w:t>
      </w:r>
      <w:r>
        <w:rPr>
          <w:spacing w:val="61"/>
          <w:position w:val="-3"/>
        </w:rPr>
        <w:t> </w:t>
      </w:r>
      <w:r>
        <w:rPr/>
        <w:t>son</w:t>
      </w:r>
      <w:r>
        <w:rPr>
          <w:spacing w:val="63"/>
        </w:rPr>
        <w:t> </w:t>
      </w:r>
      <w:r>
        <w:rPr/>
        <w:t>las</w:t>
      </w:r>
      <w:r>
        <w:rPr>
          <w:spacing w:val="62"/>
        </w:rPr>
        <w:t> </w:t>
      </w:r>
      <w:r>
        <w:rPr/>
        <w:t>cifras</w:t>
      </w:r>
      <w:r>
        <w:rPr>
          <w:spacing w:val="62"/>
        </w:rPr>
        <w:t> </w:t>
      </w:r>
      <w:r>
        <w:rPr/>
        <w:t>virtuales</w:t>
      </w:r>
      <w:r>
        <w:rPr>
          <w:spacing w:val="62"/>
        </w:rPr>
        <w:t> </w:t>
      </w:r>
      <w:r>
        <w:rPr/>
        <w:t>de</w:t>
      </w:r>
      <w:r>
        <w:rPr>
          <w:spacing w:val="61"/>
        </w:rPr>
        <w:t> </w:t>
      </w:r>
      <w:r>
        <w:rPr/>
        <w:t>la</w:t>
      </w:r>
      <w:r>
        <w:rPr>
          <w:spacing w:val="61"/>
        </w:rPr>
        <w:t> </w:t>
      </w:r>
      <w:r>
        <w:rPr/>
        <w:t>entidad</w:t>
      </w:r>
      <w:r>
        <w:rPr>
          <w:spacing w:val="63"/>
        </w:rPr>
        <w:t> </w:t>
      </w:r>
      <w:r>
        <w:rPr/>
        <w:t>i</w:t>
      </w:r>
      <w:r>
        <w:rPr>
          <w:spacing w:val="60"/>
        </w:rPr>
        <w:t> </w:t>
      </w:r>
      <w:r>
        <w:rPr/>
        <w:t>en</w:t>
      </w:r>
      <w:r>
        <w:rPr>
          <w:spacing w:val="63"/>
        </w:rPr>
        <w:t> </w:t>
      </w:r>
      <w:r>
        <w:rPr/>
        <w:t>el</w:t>
      </w:r>
      <w:r>
        <w:rPr>
          <w:spacing w:val="60"/>
        </w:rPr>
        <w:t> </w:t>
      </w:r>
      <w:r>
        <w:rPr/>
        <w:t>año</w:t>
      </w:r>
      <w:r>
        <w:rPr>
          <w:spacing w:val="60"/>
        </w:rPr>
        <w:t> </w:t>
      </w:r>
      <w:r>
        <w:rPr/>
        <w:t>t</w:t>
      </w:r>
      <w:r>
        <w:rPr>
          <w:spacing w:val="64"/>
        </w:rPr>
        <w:t> </w:t>
      </w:r>
      <w:r>
        <w:rPr/>
        <w:t>que</w:t>
      </w:r>
      <w:r>
        <w:rPr>
          <w:spacing w:val="63"/>
        </w:rPr>
        <w:t> </w:t>
      </w:r>
      <w:r>
        <w:rPr/>
        <w:t>dé</w:t>
      </w:r>
      <w:r>
        <w:rPr>
          <w:spacing w:val="60"/>
        </w:rPr>
        <w:t> </w:t>
      </w:r>
      <w:r>
        <w:rPr/>
        <w:t>a</w:t>
      </w:r>
      <w:r>
        <w:rPr>
          <w:spacing w:val="61"/>
        </w:rPr>
        <w:t> </w:t>
      </w:r>
      <w:r>
        <w:rPr/>
        <w:t>conocer</w:t>
      </w:r>
      <w:r>
        <w:rPr>
          <w:spacing w:val="62"/>
        </w:rPr>
        <w:t> </w:t>
      </w:r>
      <w:r>
        <w:rPr/>
        <w:t>el</w:t>
      </w:r>
      <w:r>
        <w:rPr>
          <w:spacing w:val="60"/>
        </w:rPr>
        <w:t> </w:t>
      </w:r>
      <w:r>
        <w:rPr/>
        <w:t>Servicio</w:t>
      </w:r>
      <w:r>
        <w:rPr>
          <w:spacing w:val="63"/>
        </w:rPr>
        <w:t> </w:t>
      </w:r>
      <w:r>
        <w:rPr/>
        <w:t>de Administración Tributaria.</w:t>
      </w:r>
    </w:p>
    <w:p>
      <w:pPr>
        <w:pStyle w:val="BodyText"/>
        <w:spacing w:before="229"/>
        <w:ind w:left="289" w:firstLine="288"/>
      </w:pPr>
      <w:r>
        <w:rPr/>
        <w:t>PIB</w:t>
      </w:r>
      <w:r>
        <w:rPr>
          <w:position w:val="-3"/>
        </w:rPr>
        <w:t>i,t-1</w:t>
      </w:r>
      <w:r>
        <w:rPr>
          <w:spacing w:val="32"/>
          <w:position w:val="-3"/>
        </w:rPr>
        <w:t> </w:t>
      </w:r>
      <w:r>
        <w:rPr/>
        <w:t>es</w:t>
      </w:r>
      <w:r>
        <w:rPr>
          <w:spacing w:val="31"/>
        </w:rPr>
        <w:t> </w:t>
      </w:r>
      <w:r>
        <w:rPr/>
        <w:t>la</w:t>
      </w:r>
      <w:r>
        <w:rPr>
          <w:spacing w:val="32"/>
        </w:rPr>
        <w:t> </w:t>
      </w:r>
      <w:r>
        <w:rPr/>
        <w:t>información</w:t>
      </w:r>
      <w:r>
        <w:rPr>
          <w:spacing w:val="29"/>
        </w:rPr>
        <w:t> </w:t>
      </w:r>
      <w:r>
        <w:rPr/>
        <w:t>oficial</w:t>
      </w:r>
      <w:r>
        <w:rPr>
          <w:spacing w:val="31"/>
        </w:rPr>
        <w:t> </w:t>
      </w:r>
      <w:r>
        <w:rPr/>
        <w:t>del</w:t>
      </w:r>
      <w:r>
        <w:rPr>
          <w:spacing w:val="31"/>
        </w:rPr>
        <w:t> </w:t>
      </w:r>
      <w:r>
        <w:rPr/>
        <w:t>Producto</w:t>
      </w:r>
      <w:r>
        <w:rPr>
          <w:spacing w:val="29"/>
        </w:rPr>
        <w:t> </w:t>
      </w:r>
      <w:r>
        <w:rPr/>
        <w:t>Interno</w:t>
      </w:r>
      <w:r>
        <w:rPr>
          <w:spacing w:val="30"/>
        </w:rPr>
        <w:t> </w:t>
      </w:r>
      <w:r>
        <w:rPr/>
        <w:t>Bruto</w:t>
      </w:r>
      <w:r>
        <w:rPr>
          <w:spacing w:val="30"/>
        </w:rPr>
        <w:t> </w:t>
      </w:r>
      <w:r>
        <w:rPr/>
        <w:t>del</w:t>
      </w:r>
      <w:r>
        <w:rPr>
          <w:spacing w:val="29"/>
        </w:rPr>
        <w:t> </w:t>
      </w:r>
      <w:r>
        <w:rPr/>
        <w:t>último</w:t>
      </w:r>
      <w:r>
        <w:rPr>
          <w:spacing w:val="30"/>
        </w:rPr>
        <w:t> </w:t>
      </w:r>
      <w:r>
        <w:rPr/>
        <w:t>año</w:t>
      </w:r>
      <w:r>
        <w:rPr>
          <w:spacing w:val="30"/>
        </w:rPr>
        <w:t> </w:t>
      </w:r>
      <w:r>
        <w:rPr/>
        <w:t>que</w:t>
      </w:r>
      <w:r>
        <w:rPr>
          <w:spacing w:val="30"/>
        </w:rPr>
        <w:t> </w:t>
      </w:r>
      <w:r>
        <w:rPr/>
        <w:t>dé</w:t>
      </w:r>
      <w:r>
        <w:rPr>
          <w:spacing w:val="32"/>
        </w:rPr>
        <w:t> </w:t>
      </w:r>
      <w:r>
        <w:rPr/>
        <w:t>a</w:t>
      </w:r>
      <w:r>
        <w:rPr>
          <w:spacing w:val="30"/>
        </w:rPr>
        <w:t> </w:t>
      </w:r>
      <w:r>
        <w:rPr/>
        <w:t>conocer</w:t>
      </w:r>
      <w:r>
        <w:rPr>
          <w:spacing w:val="30"/>
        </w:rPr>
        <w:t> </w:t>
      </w:r>
      <w:r>
        <w:rPr/>
        <w:t>el Instituto Nacional de Estadística y Geografía para la entidad i.</w:t>
      </w:r>
    </w:p>
    <w:p>
      <w:pPr>
        <w:pStyle w:val="BodyText"/>
      </w:pPr>
    </w:p>
    <w:p>
      <w:pPr>
        <w:pStyle w:val="BodyText"/>
        <w:ind w:left="289" w:firstLine="288"/>
      </w:pPr>
      <w:r>
        <w:rPr/>
        <w:t>VM</w:t>
      </w:r>
      <w:r>
        <w:rPr>
          <w:position w:val="-3"/>
        </w:rPr>
        <w:t>i,t</w:t>
      </w:r>
      <w:r>
        <w:rPr>
          <w:spacing w:val="23"/>
          <w:position w:val="-3"/>
        </w:rPr>
        <w:t> </w:t>
      </w:r>
      <w:r>
        <w:rPr/>
        <w:t>es</w:t>
      </w:r>
      <w:r>
        <w:rPr>
          <w:spacing w:val="22"/>
        </w:rPr>
        <w:t> </w:t>
      </w:r>
      <w:r>
        <w:rPr/>
        <w:t>el</w:t>
      </w:r>
      <w:r>
        <w:rPr>
          <w:spacing w:val="22"/>
        </w:rPr>
        <w:t> </w:t>
      </w:r>
      <w:r>
        <w:rPr/>
        <w:t>valor</w:t>
      </w:r>
      <w:r>
        <w:rPr>
          <w:spacing w:val="24"/>
        </w:rPr>
        <w:t> </w:t>
      </w:r>
      <w:r>
        <w:rPr/>
        <w:t>de</w:t>
      </w:r>
      <w:r>
        <w:rPr>
          <w:spacing w:val="23"/>
        </w:rPr>
        <w:t> </w:t>
      </w:r>
      <w:r>
        <w:rPr/>
        <w:t>la</w:t>
      </w:r>
      <w:r>
        <w:rPr>
          <w:spacing w:val="23"/>
        </w:rPr>
        <w:t> </w:t>
      </w:r>
      <w:r>
        <w:rPr/>
        <w:t>mercancía</w:t>
      </w:r>
      <w:r>
        <w:rPr>
          <w:spacing w:val="20"/>
        </w:rPr>
        <w:t> </w:t>
      </w:r>
      <w:r>
        <w:rPr/>
        <w:t>embargada</w:t>
      </w:r>
      <w:r>
        <w:rPr>
          <w:spacing w:val="23"/>
        </w:rPr>
        <w:t> </w:t>
      </w:r>
      <w:r>
        <w:rPr/>
        <w:t>o</w:t>
      </w:r>
      <w:r>
        <w:rPr>
          <w:spacing w:val="21"/>
        </w:rPr>
        <w:t> </w:t>
      </w:r>
      <w:r>
        <w:rPr/>
        <w:t>asegurada</w:t>
      </w:r>
      <w:r>
        <w:rPr>
          <w:spacing w:val="23"/>
        </w:rPr>
        <w:t> </w:t>
      </w:r>
      <w:r>
        <w:rPr/>
        <w:t>por</w:t>
      </w:r>
      <w:r>
        <w:rPr>
          <w:spacing w:val="24"/>
        </w:rPr>
        <w:t> </w:t>
      </w:r>
      <w:r>
        <w:rPr/>
        <w:t>la</w:t>
      </w:r>
      <w:r>
        <w:rPr>
          <w:spacing w:val="23"/>
        </w:rPr>
        <w:t> </w:t>
      </w:r>
      <w:r>
        <w:rPr/>
        <w:t>entidad</w:t>
      </w:r>
      <w:r>
        <w:rPr>
          <w:spacing w:val="23"/>
        </w:rPr>
        <w:t> </w:t>
      </w:r>
      <w:r>
        <w:rPr/>
        <w:t>i</w:t>
      </w:r>
      <w:r>
        <w:rPr>
          <w:spacing w:val="22"/>
        </w:rPr>
        <w:t> </w:t>
      </w:r>
      <w:r>
        <w:rPr/>
        <w:t>en</w:t>
      </w:r>
      <w:r>
        <w:rPr>
          <w:spacing w:val="25"/>
        </w:rPr>
        <w:t> </w:t>
      </w:r>
      <w:r>
        <w:rPr/>
        <w:t>el</w:t>
      </w:r>
      <w:r>
        <w:rPr>
          <w:spacing w:val="22"/>
        </w:rPr>
        <w:t> </w:t>
      </w:r>
      <w:r>
        <w:rPr/>
        <w:t>año</w:t>
      </w:r>
      <w:r>
        <w:rPr>
          <w:spacing w:val="21"/>
        </w:rPr>
        <w:t> </w:t>
      </w:r>
      <w:r>
        <w:rPr/>
        <w:t>t</w:t>
      </w:r>
      <w:r>
        <w:rPr>
          <w:spacing w:val="23"/>
        </w:rPr>
        <w:t> </w:t>
      </w:r>
      <w:r>
        <w:rPr/>
        <w:t>que</w:t>
      </w:r>
      <w:r>
        <w:rPr>
          <w:spacing w:val="22"/>
        </w:rPr>
        <w:t> </w:t>
      </w:r>
      <w:r>
        <w:rPr/>
        <w:t>dé</w:t>
      </w:r>
      <w:r>
        <w:rPr>
          <w:spacing w:val="22"/>
        </w:rPr>
        <w:t> </w:t>
      </w:r>
      <w:r>
        <w:rPr/>
        <w:t>a conocer el Servicio de Administración Tributaria.</w:t>
      </w:r>
    </w:p>
    <w:p>
      <w:pPr>
        <w:pStyle w:val="BodyText"/>
      </w:pPr>
    </w:p>
    <w:p>
      <w:pPr>
        <w:pStyle w:val="BodyText"/>
        <w:ind w:left="289" w:right="152" w:firstLine="288"/>
        <w:jc w:val="both"/>
      </w:pPr>
      <w:r>
        <w:rPr/>
        <w:t>R</w:t>
      </w:r>
      <w:r>
        <w:rPr>
          <w:position w:val="-3"/>
        </w:rPr>
        <w:t>i,t </w:t>
      </w:r>
      <w:r>
        <w:rPr/>
        <w:t>es la recaudación de impuestos y derechos locales de la entidad i en el año t contenida en la última</w:t>
      </w:r>
      <w:r>
        <w:rPr>
          <w:spacing w:val="-2"/>
        </w:rPr>
        <w:t> </w:t>
      </w:r>
      <w:r>
        <w:rPr/>
        <w:t>cuenta</w:t>
      </w:r>
      <w:r>
        <w:rPr>
          <w:spacing w:val="-1"/>
        </w:rPr>
        <w:t> </w:t>
      </w:r>
      <w:r>
        <w:rPr/>
        <w:t>pública</w:t>
      </w:r>
      <w:r>
        <w:rPr>
          <w:spacing w:val="-2"/>
        </w:rPr>
        <w:t> </w:t>
      </w:r>
      <w:r>
        <w:rPr/>
        <w:t>oficial y</w:t>
      </w:r>
      <w:r>
        <w:rPr>
          <w:spacing w:val="-7"/>
        </w:rPr>
        <w:t> </w:t>
      </w:r>
      <w:r>
        <w:rPr/>
        <w:t>reportada</w:t>
      </w:r>
      <w:r>
        <w:rPr>
          <w:spacing w:val="-3"/>
        </w:rPr>
        <w:t> </w:t>
      </w:r>
      <w:r>
        <w:rPr/>
        <w:t>en los</w:t>
      </w:r>
      <w:r>
        <w:rPr>
          <w:spacing w:val="-1"/>
        </w:rPr>
        <w:t> </w:t>
      </w:r>
      <w:r>
        <w:rPr/>
        <w:t>formatos</w:t>
      </w:r>
      <w:r>
        <w:rPr>
          <w:spacing w:val="-1"/>
        </w:rPr>
        <w:t> </w:t>
      </w:r>
      <w:r>
        <w:rPr/>
        <w:t>que</w:t>
      </w:r>
      <w:r>
        <w:rPr>
          <w:spacing w:val="-2"/>
        </w:rPr>
        <w:t> </w:t>
      </w:r>
      <w:r>
        <w:rPr/>
        <w:t>emita</w:t>
      </w:r>
      <w:r>
        <w:rPr>
          <w:spacing w:val="-2"/>
        </w:rPr>
        <w:t> </w:t>
      </w:r>
      <w:r>
        <w:rPr/>
        <w:t>la</w:t>
      </w:r>
      <w:r>
        <w:rPr>
          <w:spacing w:val="-2"/>
        </w:rPr>
        <w:t> </w:t>
      </w:r>
      <w:r>
        <w:rPr/>
        <w:t>Secretaría</w:t>
      </w:r>
      <w:r>
        <w:rPr>
          <w:spacing w:val="-2"/>
        </w:rPr>
        <w:t> </w:t>
      </w:r>
      <w:r>
        <w:rPr/>
        <w:t>de</w:t>
      </w:r>
      <w:r>
        <w:rPr>
          <w:spacing w:val="-2"/>
        </w:rPr>
        <w:t> </w:t>
      </w:r>
      <w:r>
        <w:rPr/>
        <w:t>Hacienda y</w:t>
      </w:r>
      <w:r>
        <w:rPr>
          <w:spacing w:val="-5"/>
        </w:rPr>
        <w:t> </w:t>
      </w:r>
      <w:r>
        <w:rPr/>
        <w:t>Crédito </w:t>
      </w:r>
      <w:r>
        <w:rPr>
          <w:spacing w:val="-2"/>
        </w:rPr>
        <w:t>Público.</w:t>
      </w:r>
    </w:p>
    <w:p>
      <w:pPr>
        <w:pStyle w:val="BodyText"/>
      </w:pPr>
    </w:p>
    <w:p>
      <w:pPr>
        <w:pStyle w:val="BodyText"/>
        <w:spacing w:line="244" w:lineRule="auto"/>
        <w:ind w:left="289" w:right="145" w:firstLine="288"/>
        <w:jc w:val="both"/>
      </w:pPr>
      <w:r>
        <w:rPr/>
        <w:t>ILD</w:t>
      </w:r>
      <w:r>
        <w:rPr>
          <w:position w:val="-3"/>
        </w:rPr>
        <w:t>i,t </w:t>
      </w:r>
      <w:r>
        <w:rPr/>
        <w:t>corresponde a la recaudación de impuestos y</w:t>
      </w:r>
      <w:r>
        <w:rPr>
          <w:spacing w:val="-1"/>
        </w:rPr>
        <w:t> </w:t>
      </w:r>
      <w:r>
        <w:rPr/>
        <w:t>derechos que se recauden en la entidad i en el año</w:t>
      </w:r>
      <w:r>
        <w:rPr>
          <w:spacing w:val="20"/>
        </w:rPr>
        <w:t> </w:t>
      </w:r>
      <w:r>
        <w:rPr/>
        <w:t>t,</w:t>
      </w:r>
      <w:r>
        <w:rPr>
          <w:spacing w:val="20"/>
        </w:rPr>
        <w:t> </w:t>
      </w:r>
      <w:r>
        <w:rPr/>
        <w:t>contenida</w:t>
      </w:r>
      <w:r>
        <w:rPr>
          <w:spacing w:val="19"/>
        </w:rPr>
        <w:t> </w:t>
      </w:r>
      <w:r>
        <w:rPr/>
        <w:t>en</w:t>
      </w:r>
      <w:r>
        <w:rPr>
          <w:spacing w:val="20"/>
        </w:rPr>
        <w:t> </w:t>
      </w:r>
      <w:r>
        <w:rPr/>
        <w:t>la</w:t>
      </w:r>
      <w:r>
        <w:rPr>
          <w:spacing w:val="22"/>
        </w:rPr>
        <w:t> </w:t>
      </w:r>
      <w:r>
        <w:rPr/>
        <w:t>última</w:t>
      </w:r>
      <w:r>
        <w:rPr>
          <w:spacing w:val="17"/>
        </w:rPr>
        <w:t> </w:t>
      </w:r>
      <w:r>
        <w:rPr/>
        <w:t>cuenta</w:t>
      </w:r>
      <w:r>
        <w:rPr>
          <w:spacing w:val="19"/>
        </w:rPr>
        <w:t> </w:t>
      </w:r>
      <w:r>
        <w:rPr/>
        <w:t>pública</w:t>
      </w:r>
      <w:r>
        <w:rPr>
          <w:spacing w:val="20"/>
        </w:rPr>
        <w:t> </w:t>
      </w:r>
      <w:r>
        <w:rPr/>
        <w:t>oficial</w:t>
      </w:r>
      <w:r>
        <w:rPr>
          <w:spacing w:val="21"/>
        </w:rPr>
        <w:t> </w:t>
      </w:r>
      <w:r>
        <w:rPr/>
        <w:t>más</w:t>
      </w:r>
      <w:r>
        <w:rPr>
          <w:spacing w:val="27"/>
        </w:rPr>
        <w:t> </w:t>
      </w:r>
      <w:r>
        <w:rPr/>
        <w:t>las</w:t>
      </w:r>
      <w:r>
        <w:rPr>
          <w:spacing w:val="21"/>
        </w:rPr>
        <w:t> </w:t>
      </w:r>
      <w:r>
        <w:rPr/>
        <w:t>Participaciones</w:t>
      </w:r>
      <w:r>
        <w:rPr>
          <w:spacing w:val="21"/>
        </w:rPr>
        <w:t> </w:t>
      </w:r>
      <w:r>
        <w:rPr/>
        <w:t>Federales</w:t>
      </w:r>
      <w:r>
        <w:rPr>
          <w:spacing w:val="21"/>
        </w:rPr>
        <w:t> </w:t>
      </w:r>
      <w:r>
        <w:rPr/>
        <w:t>que</w:t>
      </w:r>
      <w:r>
        <w:rPr>
          <w:spacing w:val="20"/>
        </w:rPr>
        <w:t> </w:t>
      </w:r>
      <w:r>
        <w:rPr/>
        <w:t>se</w:t>
      </w:r>
      <w:r>
        <w:rPr>
          <w:spacing w:val="20"/>
        </w:rPr>
        <w:t> </w:t>
      </w:r>
      <w:r>
        <w:rPr/>
        <w:t>hayan</w:t>
      </w:r>
    </w:p>
    <w:p>
      <w:pPr>
        <w:pStyle w:val="BodyText"/>
        <w:spacing w:after="0" w:line="244" w:lineRule="auto"/>
        <w:jc w:val="both"/>
        <w:sectPr>
          <w:type w:val="continuous"/>
          <w:pgSz w:w="12250" w:h="15850"/>
          <w:pgMar w:header="724" w:footer="712" w:top="1880" w:bottom="900" w:left="1417" w:right="1275"/>
        </w:sectPr>
      </w:pPr>
    </w:p>
    <w:p>
      <w:pPr>
        <w:pStyle w:val="BodyText"/>
        <w:spacing w:before="67"/>
      </w:pPr>
    </w:p>
    <w:p>
      <w:pPr>
        <w:pStyle w:val="BodyText"/>
        <w:ind w:left="289"/>
      </w:pPr>
      <w:r>
        <w:rPr/>
        <w:t>percibido</w:t>
      </w:r>
      <w:r>
        <w:rPr>
          <w:spacing w:val="36"/>
        </w:rPr>
        <w:t> </w:t>
      </w:r>
      <w:r>
        <w:rPr/>
        <w:t>en</w:t>
      </w:r>
      <w:r>
        <w:rPr>
          <w:spacing w:val="37"/>
        </w:rPr>
        <w:t> </w:t>
      </w:r>
      <w:r>
        <w:rPr/>
        <w:t>dicho</w:t>
      </w:r>
      <w:r>
        <w:rPr>
          <w:spacing w:val="36"/>
        </w:rPr>
        <w:t> </w:t>
      </w:r>
      <w:r>
        <w:rPr/>
        <w:t>ejercicio,</w:t>
      </w:r>
      <w:r>
        <w:rPr>
          <w:spacing w:val="37"/>
        </w:rPr>
        <w:t> </w:t>
      </w:r>
      <w:r>
        <w:rPr/>
        <w:t>incluyendo</w:t>
      </w:r>
      <w:r>
        <w:rPr>
          <w:spacing w:val="36"/>
        </w:rPr>
        <w:t> </w:t>
      </w:r>
      <w:r>
        <w:rPr/>
        <w:t>los</w:t>
      </w:r>
      <w:r>
        <w:rPr>
          <w:spacing w:val="38"/>
        </w:rPr>
        <w:t> </w:t>
      </w:r>
      <w:r>
        <w:rPr/>
        <w:t>incentivos</w:t>
      </w:r>
      <w:r>
        <w:rPr>
          <w:spacing w:val="38"/>
        </w:rPr>
        <w:t> </w:t>
      </w:r>
      <w:r>
        <w:rPr/>
        <w:t>derivados</w:t>
      </w:r>
      <w:r>
        <w:rPr>
          <w:spacing w:val="38"/>
        </w:rPr>
        <w:t> </w:t>
      </w:r>
      <w:r>
        <w:rPr/>
        <w:t>de</w:t>
      </w:r>
      <w:r>
        <w:rPr>
          <w:spacing w:val="37"/>
        </w:rPr>
        <w:t> </w:t>
      </w:r>
      <w:r>
        <w:rPr/>
        <w:t>la</w:t>
      </w:r>
      <w:r>
        <w:rPr>
          <w:spacing w:val="39"/>
        </w:rPr>
        <w:t> </w:t>
      </w:r>
      <w:r>
        <w:rPr/>
        <w:t>aplicación</w:t>
      </w:r>
      <w:r>
        <w:rPr>
          <w:spacing w:val="36"/>
        </w:rPr>
        <w:t> </w:t>
      </w:r>
      <w:r>
        <w:rPr/>
        <w:t>del</w:t>
      </w:r>
      <w:r>
        <w:rPr>
          <w:spacing w:val="36"/>
        </w:rPr>
        <w:t> </w:t>
      </w:r>
      <w:r>
        <w:rPr/>
        <w:t>Convenio</w:t>
      </w:r>
      <w:r>
        <w:rPr>
          <w:spacing w:val="37"/>
        </w:rPr>
        <w:t> </w:t>
      </w:r>
      <w:r>
        <w:rPr/>
        <w:t>de Colaboración Administrativa en Materia Fiscal Federal.</w:t>
      </w:r>
    </w:p>
    <w:p>
      <w:pPr>
        <w:pStyle w:val="BodyText"/>
        <w:spacing w:before="229"/>
        <w:ind w:left="289" w:right="153" w:firstLine="288"/>
      </w:pPr>
      <w:r>
        <w:rPr/>
        <w:t>n</w:t>
      </w:r>
      <w:r>
        <w:rPr>
          <w:position w:val="-3"/>
        </w:rPr>
        <w:t>i </w:t>
      </w:r>
      <w:r>
        <w:rPr/>
        <w:t>es la</w:t>
      </w:r>
      <w:r>
        <w:rPr>
          <w:spacing w:val="-1"/>
        </w:rPr>
        <w:t> </w:t>
      </w:r>
      <w:r>
        <w:rPr/>
        <w:t>última</w:t>
      </w:r>
      <w:r>
        <w:rPr>
          <w:spacing w:val="-1"/>
        </w:rPr>
        <w:t> </w:t>
      </w:r>
      <w:r>
        <w:rPr/>
        <w:t>información oficial de población que dé a conocer el Instituto</w:t>
      </w:r>
      <w:r>
        <w:rPr>
          <w:spacing w:val="-1"/>
        </w:rPr>
        <w:t> </w:t>
      </w:r>
      <w:r>
        <w:rPr/>
        <w:t>Nacional de Estadística y Geografía para la entidad i.</w:t>
      </w:r>
    </w:p>
    <w:p>
      <w:pPr>
        <w:spacing w:line="321" w:lineRule="exact" w:before="192"/>
        <w:ind w:left="606" w:right="0" w:firstLine="0"/>
        <w:jc w:val="left"/>
        <w:rPr>
          <w:rFonts w:ascii="Symbol" w:hAnsi="Symbol"/>
          <w:sz w:val="29"/>
        </w:rPr>
      </w:pPr>
      <w:r>
        <w:rPr>
          <w:rFonts w:ascii="Symbol" w:hAnsi="Symbol"/>
          <w:spacing w:val="-10"/>
          <w:sz w:val="29"/>
        </w:rPr>
        <w:t></w:t>
      </w:r>
    </w:p>
    <w:p>
      <w:pPr>
        <w:pStyle w:val="BodyText"/>
        <w:tabs>
          <w:tab w:pos="954" w:val="left" w:leader="none"/>
        </w:tabs>
        <w:spacing w:line="196" w:lineRule="exact"/>
        <w:ind w:left="693"/>
      </w:pPr>
      <w:r>
        <w:rPr>
          <w:rFonts w:ascii="Times New Roman"/>
          <w:i/>
          <w:spacing w:val="-10"/>
          <w:position w:val="4"/>
          <w:sz w:val="11"/>
        </w:rPr>
        <w:t>i</w:t>
      </w:r>
      <w:r>
        <w:rPr>
          <w:rFonts w:ascii="Times New Roman"/>
          <w:i/>
          <w:position w:val="4"/>
          <w:sz w:val="11"/>
        </w:rPr>
        <w:tab/>
      </w:r>
      <w:r>
        <w:rPr/>
        <w:t>es</w:t>
      </w:r>
      <w:r>
        <w:rPr>
          <w:spacing w:val="-6"/>
        </w:rPr>
        <w:t> </w:t>
      </w:r>
      <w:r>
        <w:rPr/>
        <w:t>la</w:t>
      </w:r>
      <w:r>
        <w:rPr>
          <w:spacing w:val="-6"/>
        </w:rPr>
        <w:t> </w:t>
      </w:r>
      <w:r>
        <w:rPr/>
        <w:t>suma</w:t>
      </w:r>
      <w:r>
        <w:rPr>
          <w:spacing w:val="-6"/>
        </w:rPr>
        <w:t> </w:t>
      </w:r>
      <w:r>
        <w:rPr/>
        <w:t>sobre</w:t>
      </w:r>
      <w:r>
        <w:rPr>
          <w:spacing w:val="-6"/>
        </w:rPr>
        <w:t> </w:t>
      </w:r>
      <w:r>
        <w:rPr/>
        <w:t>todas</w:t>
      </w:r>
      <w:r>
        <w:rPr>
          <w:spacing w:val="-5"/>
        </w:rPr>
        <w:t> </w:t>
      </w:r>
      <w:r>
        <w:rPr/>
        <w:t>las</w:t>
      </w:r>
      <w:r>
        <w:rPr>
          <w:spacing w:val="-5"/>
        </w:rPr>
        <w:t> </w:t>
      </w:r>
      <w:r>
        <w:rPr/>
        <w:t>entidades</w:t>
      </w:r>
      <w:r>
        <w:rPr>
          <w:spacing w:val="-5"/>
        </w:rPr>
        <w:t> </w:t>
      </w:r>
      <w:r>
        <w:rPr/>
        <w:t>de</w:t>
      </w:r>
      <w:r>
        <w:rPr>
          <w:spacing w:val="-5"/>
        </w:rPr>
        <w:t> </w:t>
      </w:r>
      <w:r>
        <w:rPr/>
        <w:t>la</w:t>
      </w:r>
      <w:r>
        <w:rPr>
          <w:spacing w:val="-4"/>
        </w:rPr>
        <w:t> </w:t>
      </w:r>
      <w:r>
        <w:rPr/>
        <w:t>variable</w:t>
      </w:r>
      <w:r>
        <w:rPr>
          <w:spacing w:val="-5"/>
        </w:rPr>
        <w:t> </w:t>
      </w:r>
      <w:r>
        <w:rPr/>
        <w:t>que</w:t>
      </w:r>
      <w:r>
        <w:rPr>
          <w:spacing w:val="-6"/>
        </w:rPr>
        <w:t> </w:t>
      </w:r>
      <w:r>
        <w:rPr/>
        <w:t>le</w:t>
      </w:r>
      <w:r>
        <w:rPr>
          <w:spacing w:val="-4"/>
        </w:rPr>
        <w:t> </w:t>
      </w:r>
      <w:r>
        <w:rPr>
          <w:spacing w:val="-2"/>
        </w:rPr>
        <w:t>sigue.</w:t>
      </w:r>
    </w:p>
    <w:p>
      <w:pPr>
        <w:pStyle w:val="BodyText"/>
        <w:spacing w:before="1"/>
      </w:pPr>
    </w:p>
    <w:p>
      <w:pPr>
        <w:pStyle w:val="BodyText"/>
        <w:ind w:left="1" w:right="139" w:firstLine="288"/>
        <w:jc w:val="both"/>
      </w:pPr>
      <w:r>
        <w:rPr/>
        <w:t>Para los efectos de la fórmula a que se refiere este artículo, se considerarán impuestos y derechos locales todos aquéllos que se recauden a nivel estatal, así como el impuesto predial y los derechos por suministro de agua que registren un flujo de efectivo.</w:t>
      </w:r>
    </w:p>
    <w:p>
      <w:pPr>
        <w:pStyle w:val="BodyText"/>
      </w:pPr>
    </w:p>
    <w:p>
      <w:pPr>
        <w:pStyle w:val="BodyText"/>
        <w:ind w:left="1" w:right="143" w:firstLine="288"/>
        <w:jc w:val="both"/>
      </w:pPr>
      <w:r>
        <w:rPr/>
        <w:t>Las cifras reportadas en la cuenta pública oficial de los citados ingresos, que estén relacionadas con</w:t>
      </w:r>
      <w:r>
        <w:rPr>
          <w:spacing w:val="40"/>
        </w:rPr>
        <w:t> </w:t>
      </w:r>
      <w:r>
        <w:rPr/>
        <w:t>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participaciones.</w:t>
      </w:r>
    </w:p>
    <w:p>
      <w:pPr>
        <w:pStyle w:val="BodyText"/>
      </w:pPr>
    </w:p>
    <w:p>
      <w:pPr>
        <w:pStyle w:val="BodyText"/>
        <w:ind w:left="1" w:right="144" w:firstLine="288"/>
        <w:jc w:val="both"/>
      </w:pPr>
      <w:r>
        <w:rPr/>
        <w:t>En lo que corresponde a los derechos, se considerarán aquellas contribuciones establecidas en Ley por el uso o aprovechamiento de los bienes del dominio público de la entidad; así como por los servicios que presten las entidades en sus funciones de derecho público, excepto cuando se presten por organismos descentralizados u órganos desconcentrados. No obstante, se considerarán los derechos a cargo de los organismos públicos descentralizados que presten servicios exclusivos de las entidades.</w:t>
      </w:r>
    </w:p>
    <w:p>
      <w:pPr>
        <w:pStyle w:val="BodyText"/>
        <w:spacing w:before="1"/>
      </w:pPr>
    </w:p>
    <w:p>
      <w:pPr>
        <w:pStyle w:val="BodyText"/>
        <w:ind w:left="1" w:right="142" w:firstLine="288"/>
        <w:jc w:val="both"/>
      </w:pPr>
      <w:r>
        <w:rPr/>
        <w:t>La fórmula del Fondo de Fiscalización y Recaudación no será aplicable en el evento de que en el año de cálculo dicho Fondo sea inferior a la participación que la totalidad de las</w:t>
      </w:r>
      <w:r>
        <w:rPr>
          <w:spacing w:val="18"/>
        </w:rPr>
        <w:t> </w:t>
      </w:r>
      <w:r>
        <w:rPr/>
        <w:t>entidades hayan recibido en</w:t>
      </w:r>
      <w:r>
        <w:rPr>
          <w:spacing w:val="40"/>
        </w:rPr>
        <w:t> </w:t>
      </w:r>
      <w:r>
        <w:rPr/>
        <w:t>el 2013 por concepto del Fondo de Fiscalización. En dicho supuesto, la distribución se realizará en</w:t>
      </w:r>
      <w:r>
        <w:rPr>
          <w:spacing w:val="40"/>
        </w:rPr>
        <w:t> </w:t>
      </w:r>
      <w:r>
        <w:rPr/>
        <w:t>función de la cantidad efectivamente generada en el año de cálculo y de acuerdo con el coeficiente efectivo que cada entidad haya recibido por concepto del Fondo de Fiscalización en el año 2013.</w:t>
      </w:r>
    </w:p>
    <w:p>
      <w:pPr>
        <w:pStyle w:val="BodyText"/>
      </w:pPr>
    </w:p>
    <w:p>
      <w:pPr>
        <w:pStyle w:val="BodyText"/>
        <w:ind w:left="1" w:right="153" w:firstLine="288"/>
        <w:jc w:val="both"/>
      </w:pPr>
      <w:r>
        <w:rPr/>
        <w:t>Los municipios y demarcaciones territoriales del Distrito Federal recibirán como mínimo el 20% de la recaudación que del Fondo de Fiscalización y Recaudación corresponda a las entidades.</w:t>
      </w:r>
    </w:p>
    <w:p>
      <w:pPr>
        <w:pStyle w:val="BodyText"/>
        <w:spacing w:before="1"/>
      </w:pPr>
    </w:p>
    <w:p>
      <w:pPr>
        <w:pStyle w:val="BodyText"/>
        <w:ind w:left="1" w:right="148" w:firstLine="288"/>
        <w:jc w:val="both"/>
      </w:pPr>
      <w:r>
        <w:rPr/>
        <w:t>La Secretaría de Hacienda y Crédito Público podrá verificar el cumplimiento de las labores de fiscalización efectuadas por las entidades federativas en los términos de este artículo.</w:t>
      </w:r>
    </w:p>
    <w:p>
      <w:pPr>
        <w:spacing w:line="180" w:lineRule="exact" w:before="0"/>
        <w:ind w:left="0" w:right="137"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28-12-1989.</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26-12-1990.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03-12-1993,</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2"/>
          <w:sz w:val="16"/>
        </w:rPr>
        <w:t>1993,</w:t>
      </w:r>
    </w:p>
    <w:p>
      <w:pPr>
        <w:spacing w:before="1"/>
        <w:ind w:left="0" w:right="138" w:firstLine="0"/>
        <w:jc w:val="right"/>
        <w:rPr>
          <w:rFonts w:ascii="Times New Roman"/>
          <w:i/>
          <w:sz w:val="16"/>
        </w:rPr>
      </w:pPr>
      <w:r>
        <w:rPr>
          <w:rFonts w:ascii="Times New Roman"/>
          <w:i/>
          <w:color w:val="0000FF"/>
          <w:spacing w:val="-2"/>
          <w:sz w:val="16"/>
        </w:rPr>
        <w:t>15-12-1995,</w:t>
      </w:r>
      <w:r>
        <w:rPr>
          <w:rFonts w:ascii="Times New Roman"/>
          <w:i/>
          <w:color w:val="0000FF"/>
          <w:spacing w:val="16"/>
          <w:sz w:val="16"/>
        </w:rPr>
        <w:t> </w:t>
      </w:r>
      <w:r>
        <w:rPr>
          <w:rFonts w:ascii="Times New Roman"/>
          <w:i/>
          <w:color w:val="0000FF"/>
          <w:spacing w:val="-2"/>
          <w:sz w:val="16"/>
        </w:rPr>
        <w:t>21-12-2007,</w:t>
      </w:r>
      <w:r>
        <w:rPr>
          <w:rFonts w:ascii="Times New Roman"/>
          <w:i/>
          <w:color w:val="0000FF"/>
          <w:spacing w:val="16"/>
          <w:sz w:val="16"/>
        </w:rPr>
        <w:t> </w:t>
      </w:r>
      <w:r>
        <w:rPr>
          <w:rFonts w:ascii="Times New Roman"/>
          <w:i/>
          <w:color w:val="0000FF"/>
          <w:spacing w:val="-2"/>
          <w:sz w:val="16"/>
        </w:rPr>
        <w:t>09-12-</w:t>
      </w:r>
      <w:r>
        <w:rPr>
          <w:rFonts w:ascii="Times New Roman"/>
          <w:i/>
          <w:color w:val="0000FF"/>
          <w:spacing w:val="-4"/>
          <w:sz w:val="16"/>
        </w:rPr>
        <w:t>2013</w:t>
      </w:r>
    </w:p>
    <w:p>
      <w:pPr>
        <w:pStyle w:val="BodyText"/>
        <w:spacing w:before="45"/>
        <w:rPr>
          <w:rFonts w:ascii="Times New Roman"/>
          <w:i/>
          <w:sz w:val="16"/>
        </w:rPr>
      </w:pPr>
    </w:p>
    <w:p>
      <w:pPr>
        <w:pStyle w:val="BodyText"/>
        <w:spacing w:line="242" w:lineRule="auto"/>
        <w:ind w:left="1" w:right="139" w:firstLine="288"/>
        <w:jc w:val="both"/>
      </w:pPr>
      <w:bookmarkStart w:name="Artículo_4o_A" w:id="8"/>
      <w:bookmarkEnd w:id="8"/>
      <w:r>
        <w:rPr/>
      </w:r>
      <w:r>
        <w:rPr>
          <w:rFonts w:ascii="Arial" w:hAnsi="Arial"/>
          <w:b/>
        </w:rPr>
        <w:t>Artículo 4o-A.- </w:t>
      </w:r>
      <w:r>
        <w:rPr/>
        <w:t>La recaudación derivada de la aplicación de las cuotas previstas en el artículo 2o-A, fracción II de la Ley del Impuesto Especial sobre Producción y Servicios, se dividirá en dos partes:</w:t>
      </w:r>
    </w:p>
    <w:p>
      <w:pPr>
        <w:pStyle w:val="ListParagraph"/>
        <w:numPr>
          <w:ilvl w:val="0"/>
          <w:numId w:val="3"/>
        </w:numPr>
        <w:tabs>
          <w:tab w:pos="719" w:val="left" w:leader="none"/>
          <w:tab w:pos="721" w:val="left" w:leader="none"/>
        </w:tabs>
        <w:spacing w:line="240" w:lineRule="auto" w:before="227" w:after="0"/>
        <w:ind w:left="721" w:right="147" w:hanging="432"/>
        <w:jc w:val="both"/>
        <w:rPr>
          <w:sz w:val="20"/>
        </w:rPr>
      </w:pPr>
      <w:r>
        <w:rPr>
          <w:sz w:val="20"/>
        </w:rPr>
        <w:t>Del total recaudado 9/11 corresponderá a las entidades federativas en función del consumo efectuado en su territorio, de acuerdo con la información que Petróleos Mexicanos y los demás permisionarios para el expendio al público y la distribución de gasolinas y diésel proporcione a la Secretaría de Hacienda y Crédito Público, complementada, en su caso, con la información del Servicio de Administración Tributaria y de la Comisión Reguladora de Energía, siempre y</w:t>
      </w:r>
      <w:r>
        <w:rPr>
          <w:spacing w:val="-3"/>
          <w:sz w:val="20"/>
        </w:rPr>
        <w:t> </w:t>
      </w:r>
      <w:r>
        <w:rPr>
          <w:sz w:val="20"/>
        </w:rPr>
        <w:t>cuando se encuentren adheridas al Sistema Nacional de Coordinación Fiscal.</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721" w:right="187"/>
      </w:pPr>
      <w:r>
        <w:rPr/>
        <w:t>Los recursos que obtengan las entidades federativas, municipios</w:t>
      </w:r>
      <w:r>
        <w:rPr>
          <w:spacing w:val="27"/>
        </w:rPr>
        <w:t> </w:t>
      </w:r>
      <w:r>
        <w:rPr/>
        <w:t>y demarcaciones territoriales,</w:t>
      </w:r>
      <w:r>
        <w:rPr>
          <w:spacing w:val="40"/>
        </w:rPr>
        <w:t> </w:t>
      </w:r>
      <w:r>
        <w:rPr/>
        <w:t>de</w:t>
      </w:r>
      <w:r>
        <w:rPr>
          <w:spacing w:val="12"/>
        </w:rPr>
        <w:t> </w:t>
      </w:r>
      <w:r>
        <w:rPr/>
        <w:t>acuerdo</w:t>
      </w:r>
      <w:r>
        <w:rPr>
          <w:spacing w:val="13"/>
        </w:rPr>
        <w:t> </w:t>
      </w:r>
      <w:r>
        <w:rPr/>
        <w:t>a</w:t>
      </w:r>
      <w:r>
        <w:rPr>
          <w:spacing w:val="14"/>
        </w:rPr>
        <w:t> </w:t>
      </w:r>
      <w:r>
        <w:rPr/>
        <w:t>lo</w:t>
      </w:r>
      <w:r>
        <w:rPr>
          <w:spacing w:val="13"/>
        </w:rPr>
        <w:t> </w:t>
      </w:r>
      <w:r>
        <w:rPr/>
        <w:t>previsto</w:t>
      </w:r>
      <w:r>
        <w:rPr>
          <w:spacing w:val="13"/>
        </w:rPr>
        <w:t> </w:t>
      </w:r>
      <w:r>
        <w:rPr/>
        <w:t>en</w:t>
      </w:r>
      <w:r>
        <w:rPr>
          <w:spacing w:val="14"/>
        </w:rPr>
        <w:t> </w:t>
      </w:r>
      <w:r>
        <w:rPr/>
        <w:t>esta</w:t>
      </w:r>
      <w:r>
        <w:rPr>
          <w:spacing w:val="13"/>
        </w:rPr>
        <w:t> </w:t>
      </w:r>
      <w:r>
        <w:rPr/>
        <w:t>fracción,</w:t>
      </w:r>
      <w:r>
        <w:rPr>
          <w:spacing w:val="13"/>
        </w:rPr>
        <w:t> </w:t>
      </w:r>
      <w:r>
        <w:rPr/>
        <w:t>podrán</w:t>
      </w:r>
      <w:r>
        <w:rPr>
          <w:spacing w:val="14"/>
        </w:rPr>
        <w:t> </w:t>
      </w:r>
      <w:r>
        <w:rPr/>
        <w:t>afectarse</w:t>
      </w:r>
      <w:r>
        <w:rPr>
          <w:spacing w:val="13"/>
        </w:rPr>
        <w:t> </w:t>
      </w:r>
      <w:r>
        <w:rPr/>
        <w:t>en</w:t>
      </w:r>
      <w:r>
        <w:rPr>
          <w:spacing w:val="12"/>
        </w:rPr>
        <w:t> </w:t>
      </w:r>
      <w:r>
        <w:rPr/>
        <w:t>términos</w:t>
      </w:r>
      <w:r>
        <w:rPr>
          <w:spacing w:val="15"/>
        </w:rPr>
        <w:t> </w:t>
      </w:r>
      <w:r>
        <w:rPr/>
        <w:t>del</w:t>
      </w:r>
      <w:r>
        <w:rPr>
          <w:spacing w:val="12"/>
        </w:rPr>
        <w:t> </w:t>
      </w:r>
      <w:r>
        <w:rPr/>
        <w:t>artículo</w:t>
      </w:r>
      <w:r>
        <w:rPr>
          <w:spacing w:val="13"/>
        </w:rPr>
        <w:t> </w:t>
      </w:r>
      <w:r>
        <w:rPr/>
        <w:t>9o.</w:t>
      </w:r>
      <w:r>
        <w:rPr>
          <w:spacing w:val="14"/>
        </w:rPr>
        <w:t> </w:t>
      </w:r>
      <w:r>
        <w:rPr/>
        <w:t>de</w:t>
      </w:r>
      <w:r>
        <w:rPr>
          <w:spacing w:val="12"/>
        </w:rPr>
        <w:t> </w:t>
      </w:r>
      <w:r>
        <w:rPr>
          <w:spacing w:val="-4"/>
        </w:rPr>
        <w:t>esta</w:t>
      </w:r>
    </w:p>
    <w:p>
      <w:pPr>
        <w:pStyle w:val="BodyText"/>
        <w:spacing w:after="0"/>
        <w:sectPr>
          <w:pgSz w:w="12250" w:h="15850"/>
          <w:pgMar w:header="724" w:footer="712" w:top="1880" w:bottom="900" w:left="1417" w:right="1275"/>
        </w:sectPr>
      </w:pPr>
    </w:p>
    <w:p>
      <w:pPr>
        <w:pStyle w:val="BodyText"/>
        <w:spacing w:before="67"/>
      </w:pPr>
    </w:p>
    <w:p>
      <w:pPr>
        <w:pStyle w:val="BodyText"/>
        <w:ind w:left="721" w:right="154"/>
        <w:jc w:val="both"/>
      </w:pPr>
      <w:r>
        <w:rPr/>
        <w:t>Ley, siempre que la afectación correspondiente en ningún caso exceda del 25% de los recursos que les correspondan.</w:t>
      </w:r>
    </w:p>
    <w:p>
      <w:pPr>
        <w:pStyle w:val="BodyText"/>
        <w:spacing w:before="229"/>
        <w:ind w:left="721" w:right="149"/>
        <w:jc w:val="both"/>
      </w:pPr>
      <w:r>
        <w:rPr/>
        <w:t>Tratándose de obligaciones pagaderas en dos o más ejercicios fiscales, para cada año podrá destinarse al servicio de las mismas lo que resulte mayor entre aplicar el porcentaje a que se refiere el párrafo anterior a los recursos correspondientes al año de que se trate o a los recursos correspondientes al año en que las obligaciones hayan sido contratadas.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5"/>
        <w:rPr>
          <w:rFonts w:ascii="Times New Roman"/>
          <w:i/>
          <w:sz w:val="16"/>
        </w:rPr>
      </w:pPr>
    </w:p>
    <w:p>
      <w:pPr>
        <w:pStyle w:val="ListParagraph"/>
        <w:numPr>
          <w:ilvl w:val="0"/>
          <w:numId w:val="3"/>
        </w:numPr>
        <w:tabs>
          <w:tab w:pos="718" w:val="left" w:leader="none"/>
          <w:tab w:pos="721" w:val="left" w:leader="none"/>
        </w:tabs>
        <w:spacing w:line="240" w:lineRule="auto" w:before="0" w:after="0"/>
        <w:ind w:left="721" w:right="142" w:hanging="432"/>
        <w:jc w:val="both"/>
        <w:rPr>
          <w:sz w:val="20"/>
        </w:rPr>
      </w:pPr>
      <w:r>
        <w:rPr>
          <w:sz w:val="20"/>
        </w:rPr>
        <w:t>Del total recaudado con motivo de la aplicación de las cuotas, 2/11 se destinarán a un Fondo de Compensación, el cual se distribuirá entre las 10 entidades federativas que, de acuerdo con la última información oficial del Instituto Nacional de Estadística y Geografía, tengan los menores niveles de Producto Interno Bruto per cápita no minero y no petrolero. Éste se obtendrá de la diferencia entre el Producto Interno Bruto Estatal total y el Producto Interno Bruto Estatal Minero, incluyendo todos los rubros contenidos en el mismo.</w:t>
      </w:r>
    </w:p>
    <w:p>
      <w:pPr>
        <w:pStyle w:val="BodyText"/>
        <w:spacing w:before="4"/>
      </w:pPr>
    </w:p>
    <w:p>
      <w:pPr>
        <w:pStyle w:val="BodyText"/>
        <w:ind w:left="721"/>
        <w:jc w:val="both"/>
      </w:pPr>
      <w:r>
        <w:rPr/>
        <w:t>El</w:t>
      </w:r>
      <w:r>
        <w:rPr>
          <w:spacing w:val="-8"/>
        </w:rPr>
        <w:t> </w:t>
      </w:r>
      <w:r>
        <w:rPr/>
        <w:t>Fondo</w:t>
      </w:r>
      <w:r>
        <w:rPr>
          <w:spacing w:val="-6"/>
        </w:rPr>
        <w:t> </w:t>
      </w:r>
      <w:r>
        <w:rPr/>
        <w:t>de</w:t>
      </w:r>
      <w:r>
        <w:rPr>
          <w:spacing w:val="-4"/>
        </w:rPr>
        <w:t> </w:t>
      </w:r>
      <w:r>
        <w:rPr/>
        <w:t>Compensación</w:t>
      </w:r>
      <w:r>
        <w:rPr>
          <w:spacing w:val="-7"/>
        </w:rPr>
        <w:t> </w:t>
      </w:r>
      <w:r>
        <w:rPr/>
        <w:t>se</w:t>
      </w:r>
      <w:r>
        <w:rPr>
          <w:spacing w:val="-6"/>
        </w:rPr>
        <w:t> </w:t>
      </w:r>
      <w:r>
        <w:rPr/>
        <w:t>distribuirá</w:t>
      </w:r>
      <w:r>
        <w:rPr>
          <w:spacing w:val="-6"/>
        </w:rPr>
        <w:t> </w:t>
      </w:r>
      <w:r>
        <w:rPr/>
        <w:t>conforme</w:t>
      </w:r>
      <w:r>
        <w:rPr>
          <w:spacing w:val="-6"/>
        </w:rPr>
        <w:t> </w:t>
      </w:r>
      <w:r>
        <w:rPr/>
        <w:t>a</w:t>
      </w:r>
      <w:r>
        <w:rPr>
          <w:spacing w:val="-7"/>
        </w:rPr>
        <w:t> </w:t>
      </w:r>
      <w:r>
        <w:rPr/>
        <w:t>la</w:t>
      </w:r>
      <w:r>
        <w:rPr>
          <w:spacing w:val="-7"/>
        </w:rPr>
        <w:t> </w:t>
      </w:r>
      <w:r>
        <w:rPr/>
        <w:t>fórmula</w:t>
      </w:r>
      <w:r>
        <w:rPr>
          <w:spacing w:val="-6"/>
        </w:rPr>
        <w:t> </w:t>
      </w:r>
      <w:r>
        <w:rPr>
          <w:spacing w:val="-2"/>
        </w:rPr>
        <w:t>siguiente:</w:t>
      </w:r>
    </w:p>
    <w:p>
      <w:pPr>
        <w:pStyle w:val="BodyText"/>
        <w:spacing w:before="33"/>
        <w:rPr>
          <w:sz w:val="18"/>
        </w:rPr>
      </w:pPr>
    </w:p>
    <w:p>
      <w:pPr>
        <w:spacing w:before="0"/>
        <w:ind w:left="1201" w:right="1243" w:firstLine="0"/>
        <w:jc w:val="center"/>
        <w:rPr>
          <w:rFonts w:ascii="Times New Roman"/>
          <w:sz w:val="18"/>
        </w:rPr>
      </w:pPr>
      <w:r>
        <w:rPr>
          <w:rFonts w:ascii="Times New Roman"/>
          <w:sz w:val="18"/>
        </w:rPr>
        <mc:AlternateContent>
          <mc:Choice Requires="wps">
            <w:drawing>
              <wp:anchor distT="0" distB="0" distL="0" distR="0" allowOverlap="1" layoutInCell="1" locked="0" behindDoc="1" simplePos="0" relativeHeight="487598592">
                <wp:simplePos x="0" y="0"/>
                <wp:positionH relativeFrom="page">
                  <wp:posOffset>3688739</wp:posOffset>
                </wp:positionH>
                <wp:positionV relativeFrom="paragraph">
                  <wp:posOffset>153748</wp:posOffset>
                </wp:positionV>
                <wp:extent cx="466090"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466090" cy="1270"/>
                        </a:xfrm>
                        <a:custGeom>
                          <a:avLst/>
                          <a:gdLst/>
                          <a:ahLst/>
                          <a:cxnLst/>
                          <a:rect l="l" t="t" r="r" b="b"/>
                          <a:pathLst>
                            <a:path w="466090" h="0">
                              <a:moveTo>
                                <a:pt x="0" y="0"/>
                              </a:moveTo>
                              <a:lnTo>
                                <a:pt x="465638" y="0"/>
                              </a:lnTo>
                            </a:path>
                          </a:pathLst>
                        </a:custGeom>
                        <a:ln w="132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0.451965pt;margin-top:12.106173pt;width:36.7pt;height:.1pt;mso-position-horizontal-relative:page;mso-position-vertical-relative:paragraph;z-index:-15717888;mso-wrap-distance-left:0;mso-wrap-distance-right:0" id="docshape15" coordorigin="5809,242" coordsize="734,0" path="m5809,242l6542,242e" filled="false" stroked="true" strokeweight=".104592pt" strokecolor="#000000">
                <v:path arrowok="t"/>
                <v:stroke dashstyle="solid"/>
                <w10:wrap type="topAndBottom"/>
              </v:shape>
            </w:pict>
          </mc:Fallback>
        </mc:AlternateContent>
      </w:r>
      <w:r>
        <w:rPr>
          <w:rFonts w:ascii="Times New Roman"/>
          <w:spacing w:val="-10"/>
          <w:w w:val="105"/>
          <w:sz w:val="18"/>
        </w:rPr>
        <w:t>1</w:t>
      </w:r>
    </w:p>
    <w:p>
      <w:pPr>
        <w:spacing w:line="115" w:lineRule="auto" w:before="30" w:after="9"/>
        <w:ind w:left="1156" w:right="1362" w:firstLine="0"/>
        <w:jc w:val="center"/>
        <w:rPr>
          <w:rFonts w:ascii="Times New Roman" w:hAnsi="Times New Roman"/>
          <w:i/>
          <w:position w:val="-13"/>
          <w:sz w:val="18"/>
        </w:rPr>
      </w:pPr>
      <w:r>
        <w:rPr>
          <w:rFonts w:ascii="Times New Roman" w:hAnsi="Times New Roman"/>
          <w:i/>
          <w:w w:val="105"/>
          <w:position w:val="-13"/>
          <w:sz w:val="18"/>
        </w:rPr>
        <w:t>T</w:t>
      </w:r>
      <w:r>
        <w:rPr>
          <w:rFonts w:ascii="Times New Roman" w:hAnsi="Times New Roman"/>
          <w:i/>
          <w:spacing w:val="39"/>
          <w:w w:val="105"/>
          <w:position w:val="-13"/>
          <w:sz w:val="18"/>
        </w:rPr>
        <w:t>  </w:t>
      </w:r>
      <w:r>
        <w:rPr>
          <w:rFonts w:ascii="Symbol" w:hAnsi="Symbol"/>
          <w:w w:val="105"/>
          <w:position w:val="-13"/>
          <w:sz w:val="18"/>
        </w:rPr>
        <w:t></w:t>
      </w:r>
      <w:r>
        <w:rPr>
          <w:rFonts w:ascii="Times New Roman" w:hAnsi="Times New Roman"/>
          <w:spacing w:val="53"/>
          <w:w w:val="105"/>
          <w:position w:val="-13"/>
          <w:sz w:val="18"/>
        </w:rPr>
        <w:t>  </w:t>
      </w:r>
      <w:r>
        <w:rPr>
          <w:rFonts w:ascii="Times New Roman" w:hAnsi="Times New Roman"/>
          <w:i/>
          <w:w w:val="105"/>
          <w:sz w:val="18"/>
        </w:rPr>
        <w:t>PIBpc</w:t>
      </w:r>
      <w:r>
        <w:rPr>
          <w:rFonts w:ascii="Times New Roman" w:hAnsi="Times New Roman"/>
          <w:i/>
          <w:w w:val="105"/>
          <w:position w:val="-3"/>
          <w:sz w:val="10"/>
        </w:rPr>
        <w:t>i</w:t>
      </w:r>
      <w:r>
        <w:rPr>
          <w:rFonts w:ascii="Times New Roman" w:hAnsi="Times New Roman"/>
          <w:w w:val="105"/>
          <w:position w:val="-3"/>
          <w:sz w:val="10"/>
        </w:rPr>
        <w:t>,</w:t>
      </w:r>
      <w:r>
        <w:rPr>
          <w:rFonts w:ascii="Times New Roman" w:hAnsi="Times New Roman"/>
          <w:i/>
          <w:w w:val="105"/>
          <w:position w:val="-3"/>
          <w:sz w:val="10"/>
        </w:rPr>
        <w:t>t</w:t>
      </w:r>
      <w:r>
        <w:rPr>
          <w:rFonts w:ascii="Times New Roman" w:hAnsi="Times New Roman"/>
          <w:i/>
          <w:spacing w:val="-14"/>
          <w:w w:val="105"/>
          <w:position w:val="-3"/>
          <w:sz w:val="10"/>
        </w:rPr>
        <w:t> </w:t>
      </w:r>
      <w:r>
        <w:rPr>
          <w:rFonts w:ascii="Symbol" w:hAnsi="Symbol"/>
          <w:w w:val="105"/>
          <w:position w:val="-3"/>
          <w:sz w:val="10"/>
        </w:rPr>
        <w:t></w:t>
      </w:r>
      <w:r>
        <w:rPr>
          <w:rFonts w:ascii="Times New Roman" w:hAnsi="Times New Roman"/>
          <w:w w:val="105"/>
          <w:position w:val="-3"/>
          <w:sz w:val="10"/>
        </w:rPr>
        <w:t>1</w:t>
      </w:r>
      <w:r>
        <w:rPr>
          <w:rFonts w:ascii="Times New Roman" w:hAnsi="Times New Roman"/>
          <w:spacing w:val="70"/>
          <w:w w:val="105"/>
          <w:position w:val="-3"/>
          <w:sz w:val="10"/>
        </w:rPr>
        <w:t>  </w:t>
      </w:r>
      <w:r>
        <w:rPr>
          <w:rFonts w:ascii="Times New Roman" w:hAnsi="Times New Roman"/>
          <w:i/>
          <w:spacing w:val="-5"/>
          <w:w w:val="105"/>
          <w:position w:val="-13"/>
          <w:sz w:val="18"/>
        </w:rPr>
        <w:t>FC</w:t>
      </w:r>
    </w:p>
    <w:p>
      <w:pPr>
        <w:pStyle w:val="BodyText"/>
        <w:spacing w:line="20" w:lineRule="exact"/>
        <w:ind w:left="4264"/>
        <w:rPr>
          <w:rFonts w:ascii="Times New Roman"/>
          <w:sz w:val="2"/>
        </w:rPr>
      </w:pPr>
      <w:r>
        <w:rPr>
          <w:rFonts w:ascii="Times New Roman"/>
          <w:sz w:val="2"/>
        </w:rPr>
        <mc:AlternateContent>
          <mc:Choice Requires="wps">
            <w:drawing>
              <wp:inline distT="0" distB="0" distL="0" distR="0">
                <wp:extent cx="628015" cy="1905"/>
                <wp:effectExtent l="9525" t="0" r="0" b="7620"/>
                <wp:docPr id="44" name="Group 44"/>
                <wp:cNvGraphicFramePr>
                  <a:graphicFrameLocks/>
                </wp:cNvGraphicFramePr>
                <a:graphic>
                  <a:graphicData uri="http://schemas.microsoft.com/office/word/2010/wordprocessingGroup">
                    <wpg:wgp>
                      <wpg:cNvPr id="44" name="Group 44"/>
                      <wpg:cNvGrpSpPr/>
                      <wpg:grpSpPr>
                        <a:xfrm>
                          <a:off x="0" y="0"/>
                          <a:ext cx="628015" cy="1905"/>
                          <a:chExt cx="628015" cy="1905"/>
                        </a:xfrm>
                      </wpg:grpSpPr>
                      <wps:wsp>
                        <wps:cNvPr id="45" name="Graphic 45"/>
                        <wps:cNvSpPr/>
                        <wps:spPr>
                          <a:xfrm>
                            <a:off x="0" y="664"/>
                            <a:ext cx="628015" cy="1270"/>
                          </a:xfrm>
                          <a:custGeom>
                            <a:avLst/>
                            <a:gdLst/>
                            <a:ahLst/>
                            <a:cxnLst/>
                            <a:rect l="l" t="t" r="r" b="b"/>
                            <a:pathLst>
                              <a:path w="628015" h="0">
                                <a:moveTo>
                                  <a:pt x="0" y="0"/>
                                </a:moveTo>
                                <a:lnTo>
                                  <a:pt x="627910" y="0"/>
                                </a:lnTo>
                              </a:path>
                            </a:pathLst>
                          </a:custGeom>
                          <a:ln w="132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45pt;height:.15pt;mso-position-horizontal-relative:char;mso-position-vertical-relative:line" id="docshapegroup16" coordorigin="0,0" coordsize="989,3">
                <v:line style="position:absolute" from="0,1" to="989,1" stroked="true" strokeweight=".104592pt" strokecolor="#000000">
                  <v:stroke dashstyle="solid"/>
                </v:line>
              </v:group>
            </w:pict>
          </mc:Fallback>
        </mc:AlternateContent>
      </w:r>
      <w:r>
        <w:rPr>
          <w:rFonts w:ascii="Times New Roman"/>
          <w:sz w:val="2"/>
        </w:rPr>
      </w:r>
    </w:p>
    <w:p>
      <w:pPr>
        <w:tabs>
          <w:tab w:pos="893" w:val="left" w:leader="none"/>
          <w:tab w:pos="1606" w:val="left" w:leader="none"/>
        </w:tabs>
        <w:spacing w:line="91" w:lineRule="auto" w:before="26"/>
        <w:ind w:left="0" w:right="61" w:firstLine="0"/>
        <w:jc w:val="center"/>
        <w:rPr>
          <w:rFonts w:ascii="Times New Roman"/>
          <w:i/>
          <w:sz w:val="10"/>
        </w:rPr>
      </w:pPr>
      <w:r>
        <w:rPr>
          <w:rFonts w:ascii="Times New Roman"/>
          <w:i/>
          <w:sz w:val="10"/>
        </w:rPr>
        <mc:AlternateContent>
          <mc:Choice Requires="wps">
            <w:drawing>
              <wp:anchor distT="0" distB="0" distL="0" distR="0" allowOverlap="1" layoutInCell="1" locked="0" behindDoc="1" simplePos="0" relativeHeight="486328320">
                <wp:simplePos x="0" y="0"/>
                <wp:positionH relativeFrom="page">
                  <wp:posOffset>3611536</wp:posOffset>
                </wp:positionH>
                <wp:positionV relativeFrom="paragraph">
                  <wp:posOffset>15654</wp:posOffset>
                </wp:positionV>
                <wp:extent cx="126364" cy="20955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26364" cy="209550"/>
                        </a:xfrm>
                        <a:prstGeom prst="rect">
                          <a:avLst/>
                        </a:prstGeom>
                      </wps:spPr>
                      <wps:txbx>
                        <w:txbxContent>
                          <w:p>
                            <w:pPr>
                              <w:spacing w:line="329" w:lineRule="exact" w:before="0"/>
                              <w:ind w:left="0" w:right="0" w:firstLine="0"/>
                              <w:jc w:val="left"/>
                              <w:rPr>
                                <w:rFonts w:ascii="Symbol" w:hAnsi="Symbol"/>
                                <w:sz w:val="27"/>
                              </w:rPr>
                            </w:pPr>
                            <w:r>
                              <w:rPr>
                                <w:rFonts w:ascii="Symbol" w:hAnsi="Symbol"/>
                                <w:spacing w:val="-10"/>
                                <w:sz w:val="27"/>
                              </w:rPr>
                              <w:t></w:t>
                            </w:r>
                          </w:p>
                        </w:txbxContent>
                      </wps:txbx>
                      <wps:bodyPr wrap="square" lIns="0" tIns="0" rIns="0" bIns="0" rtlCol="0">
                        <a:noAutofit/>
                      </wps:bodyPr>
                    </wps:wsp>
                  </a:graphicData>
                </a:graphic>
              </wp:anchor>
            </w:drawing>
          </mc:Choice>
          <mc:Fallback>
            <w:pict>
              <v:shape style="position:absolute;margin-left:284.372925pt;margin-top:1.232605pt;width:9.950pt;height:16.5pt;mso-position-horizontal-relative:page;mso-position-vertical-relative:paragraph;z-index:-16988160" type="#_x0000_t202" id="docshape17" filled="false" stroked="false">
                <v:textbox inset="0,0,0,0">
                  <w:txbxContent>
                    <w:p>
                      <w:pPr>
                        <w:spacing w:line="329" w:lineRule="exact" w:before="0"/>
                        <w:ind w:left="0" w:right="0" w:firstLine="0"/>
                        <w:jc w:val="left"/>
                        <w:rPr>
                          <w:rFonts w:ascii="Symbol" w:hAnsi="Symbol"/>
                          <w:sz w:val="27"/>
                        </w:rPr>
                      </w:pPr>
                      <w:r>
                        <w:rPr>
                          <w:rFonts w:ascii="Symbol" w:hAnsi="Symbol"/>
                          <w:spacing w:val="-10"/>
                          <w:sz w:val="27"/>
                        </w:rPr>
                        <w:t></w:t>
                      </w:r>
                    </w:p>
                  </w:txbxContent>
                </v:textbox>
                <w10:wrap type="none"/>
              </v:shape>
            </w:pict>
          </mc:Fallback>
        </mc:AlternateContent>
      </w:r>
      <w:r>
        <w:rPr>
          <w:rFonts w:ascii="Times New Roman"/>
          <w:i/>
          <w:spacing w:val="-5"/>
          <w:w w:val="105"/>
          <w:sz w:val="10"/>
        </w:rPr>
        <w:t>i</w:t>
      </w:r>
      <w:r>
        <w:rPr>
          <w:rFonts w:ascii="Times New Roman"/>
          <w:spacing w:val="-5"/>
          <w:w w:val="105"/>
          <w:sz w:val="10"/>
        </w:rPr>
        <w:t>,</w:t>
      </w:r>
      <w:r>
        <w:rPr>
          <w:rFonts w:ascii="Times New Roman"/>
          <w:i/>
          <w:spacing w:val="-5"/>
          <w:w w:val="105"/>
          <w:sz w:val="10"/>
        </w:rPr>
        <w:t>t</w:t>
      </w:r>
      <w:r>
        <w:rPr>
          <w:rFonts w:ascii="Times New Roman"/>
          <w:i/>
          <w:sz w:val="10"/>
        </w:rPr>
        <w:tab/>
      </w:r>
      <w:r>
        <w:rPr>
          <w:rFonts w:ascii="Times New Roman"/>
          <w:spacing w:val="-10"/>
          <w:w w:val="105"/>
          <w:position w:val="-7"/>
          <w:sz w:val="18"/>
        </w:rPr>
        <w:t>1</w:t>
      </w:r>
      <w:r>
        <w:rPr>
          <w:rFonts w:ascii="Times New Roman"/>
          <w:position w:val="-7"/>
          <w:sz w:val="18"/>
        </w:rPr>
        <w:tab/>
      </w:r>
      <w:r>
        <w:rPr>
          <w:rFonts w:ascii="Times New Roman"/>
          <w:i/>
          <w:spacing w:val="-10"/>
          <w:w w:val="105"/>
          <w:sz w:val="10"/>
        </w:rPr>
        <w:t>t</w:t>
      </w:r>
    </w:p>
    <w:p>
      <w:pPr>
        <w:pStyle w:val="BodyText"/>
        <w:spacing w:before="10"/>
        <w:rPr>
          <w:rFonts w:ascii="Times New Roman"/>
          <w:i/>
          <w:sz w:val="6"/>
        </w:rPr>
      </w:pPr>
      <w:r>
        <w:rPr>
          <w:rFonts w:ascii="Times New Roman"/>
          <w:i/>
          <w:sz w:val="6"/>
        </w:rPr>
        <mc:AlternateContent>
          <mc:Choice Requires="wps">
            <w:drawing>
              <wp:anchor distT="0" distB="0" distL="0" distR="0" allowOverlap="1" layoutInCell="1" locked="0" behindDoc="1" simplePos="0" relativeHeight="487599616">
                <wp:simplePos x="0" y="0"/>
                <wp:positionH relativeFrom="page">
                  <wp:posOffset>3760121</wp:posOffset>
                </wp:positionH>
                <wp:positionV relativeFrom="paragraph">
                  <wp:posOffset>65911</wp:posOffset>
                </wp:positionV>
                <wp:extent cx="466090"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466090" cy="1270"/>
                        </a:xfrm>
                        <a:custGeom>
                          <a:avLst/>
                          <a:gdLst/>
                          <a:ahLst/>
                          <a:cxnLst/>
                          <a:rect l="l" t="t" r="r" b="b"/>
                          <a:pathLst>
                            <a:path w="466090" h="0">
                              <a:moveTo>
                                <a:pt x="0" y="0"/>
                              </a:moveTo>
                              <a:lnTo>
                                <a:pt x="465638" y="0"/>
                              </a:lnTo>
                            </a:path>
                          </a:pathLst>
                        </a:custGeom>
                        <a:ln w="132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6.072571pt;margin-top:5.189852pt;width:36.7pt;height:.1pt;mso-position-horizontal-relative:page;mso-position-vertical-relative:paragraph;z-index:-15716864;mso-wrap-distance-left:0;mso-wrap-distance-right:0" id="docshape18" coordorigin="5921,104" coordsize="734,0" path="m5921,104l6655,104e" filled="false" stroked="true" strokeweight=".104592pt" strokecolor="#000000">
                <v:path arrowok="t"/>
                <v:stroke dashstyle="solid"/>
                <w10:wrap type="topAndBottom"/>
              </v:shape>
            </w:pict>
          </mc:Fallback>
        </mc:AlternateContent>
      </w:r>
    </w:p>
    <w:p>
      <w:pPr>
        <w:spacing w:before="15"/>
        <w:ind w:left="1251" w:right="1243" w:firstLine="0"/>
        <w:jc w:val="center"/>
        <w:rPr>
          <w:rFonts w:ascii="Times New Roman" w:hAnsi="Times New Roman"/>
          <w:sz w:val="10"/>
        </w:rPr>
      </w:pPr>
      <w:r>
        <w:rPr>
          <w:rFonts w:ascii="Times New Roman" w:hAnsi="Times New Roman"/>
          <w:i/>
          <w:w w:val="105"/>
          <w:position w:val="1"/>
          <w:sz w:val="10"/>
        </w:rPr>
        <w:t>i</w:t>
      </w:r>
      <w:r>
        <w:rPr>
          <w:rFonts w:ascii="Times New Roman" w:hAnsi="Times New Roman"/>
          <w:i/>
          <w:spacing w:val="45"/>
          <w:w w:val="105"/>
          <w:position w:val="1"/>
          <w:sz w:val="10"/>
        </w:rPr>
        <w:t>  </w:t>
      </w:r>
      <w:r>
        <w:rPr>
          <w:rFonts w:ascii="Times New Roman" w:hAnsi="Times New Roman"/>
          <w:i/>
          <w:w w:val="105"/>
          <w:position w:val="4"/>
          <w:sz w:val="18"/>
        </w:rPr>
        <w:t>PIBpc</w:t>
      </w:r>
      <w:r>
        <w:rPr>
          <w:rFonts w:ascii="Times New Roman" w:hAnsi="Times New Roman"/>
          <w:i/>
          <w:w w:val="105"/>
          <w:sz w:val="10"/>
        </w:rPr>
        <w:t>i</w:t>
      </w:r>
      <w:r>
        <w:rPr>
          <w:rFonts w:ascii="Times New Roman" w:hAnsi="Times New Roman"/>
          <w:w w:val="105"/>
          <w:sz w:val="10"/>
        </w:rPr>
        <w:t>,</w:t>
      </w:r>
      <w:r>
        <w:rPr>
          <w:rFonts w:ascii="Times New Roman" w:hAnsi="Times New Roman"/>
          <w:i/>
          <w:w w:val="105"/>
          <w:sz w:val="10"/>
        </w:rPr>
        <w:t>t</w:t>
      </w:r>
      <w:r>
        <w:rPr>
          <w:rFonts w:ascii="Times New Roman" w:hAnsi="Times New Roman"/>
          <w:i/>
          <w:spacing w:val="-14"/>
          <w:w w:val="105"/>
          <w:sz w:val="10"/>
        </w:rPr>
        <w:t> </w:t>
      </w:r>
      <w:r>
        <w:rPr>
          <w:rFonts w:ascii="Symbol" w:hAnsi="Symbol"/>
          <w:spacing w:val="-5"/>
          <w:w w:val="105"/>
          <w:sz w:val="10"/>
        </w:rPr>
        <w:t></w:t>
      </w:r>
      <w:r>
        <w:rPr>
          <w:rFonts w:ascii="Times New Roman" w:hAnsi="Times New Roman"/>
          <w:spacing w:val="-5"/>
          <w:w w:val="105"/>
          <w:sz w:val="10"/>
        </w:rPr>
        <w:t>1</w:t>
      </w:r>
    </w:p>
    <w:p>
      <w:pPr>
        <w:pStyle w:val="BodyText"/>
        <w:spacing w:before="42"/>
        <w:rPr>
          <w:rFonts w:ascii="Times New Roman"/>
        </w:rPr>
      </w:pPr>
    </w:p>
    <w:p>
      <w:pPr>
        <w:pStyle w:val="BodyText"/>
        <w:ind w:left="966"/>
      </w:pPr>
      <w:r>
        <w:rPr>
          <w:spacing w:val="-2"/>
        </w:rPr>
        <w:t>Donde:</w:t>
      </w:r>
    </w:p>
    <w:p>
      <w:pPr>
        <w:pStyle w:val="BodyText"/>
        <w:spacing w:before="229"/>
        <w:ind w:left="966"/>
      </w:pPr>
      <w:r>
        <w:rPr/>
        <w:t>T</w:t>
      </w:r>
      <w:r>
        <w:rPr>
          <w:position w:val="-3"/>
        </w:rPr>
        <w:t>i,t</w:t>
      </w:r>
      <w:r>
        <w:rPr>
          <w:spacing w:val="-5"/>
          <w:position w:val="-3"/>
        </w:rPr>
        <w:t> </w:t>
      </w:r>
      <w:r>
        <w:rPr/>
        <w:t>es</w:t>
      </w:r>
      <w:r>
        <w:rPr>
          <w:spacing w:val="-4"/>
        </w:rPr>
        <w:t> </w:t>
      </w:r>
      <w:r>
        <w:rPr/>
        <w:t>la</w:t>
      </w:r>
      <w:r>
        <w:rPr>
          <w:spacing w:val="-4"/>
        </w:rPr>
        <w:t> </w:t>
      </w:r>
      <w:r>
        <w:rPr/>
        <w:t>transferencia</w:t>
      </w:r>
      <w:r>
        <w:rPr>
          <w:spacing w:val="-5"/>
        </w:rPr>
        <w:t> </w:t>
      </w:r>
      <w:r>
        <w:rPr/>
        <w:t>de</w:t>
      </w:r>
      <w:r>
        <w:rPr>
          <w:spacing w:val="-5"/>
        </w:rPr>
        <w:t> </w:t>
      </w:r>
      <w:r>
        <w:rPr/>
        <w:t>la</w:t>
      </w:r>
      <w:r>
        <w:rPr>
          <w:spacing w:val="-4"/>
        </w:rPr>
        <w:t> </w:t>
      </w:r>
      <w:r>
        <w:rPr/>
        <w:t>entidad</w:t>
      </w:r>
      <w:r>
        <w:rPr>
          <w:spacing w:val="-4"/>
        </w:rPr>
        <w:t> </w:t>
      </w:r>
      <w:r>
        <w:rPr/>
        <w:t>i</w:t>
      </w:r>
      <w:r>
        <w:rPr>
          <w:spacing w:val="-5"/>
        </w:rPr>
        <w:t> </w:t>
      </w:r>
      <w:r>
        <w:rPr/>
        <w:t>en</w:t>
      </w:r>
      <w:r>
        <w:rPr>
          <w:spacing w:val="-3"/>
        </w:rPr>
        <w:t> </w:t>
      </w:r>
      <w:r>
        <w:rPr/>
        <w:t>el</w:t>
      </w:r>
      <w:r>
        <w:rPr>
          <w:spacing w:val="-4"/>
        </w:rPr>
        <w:t> </w:t>
      </w:r>
      <w:r>
        <w:rPr/>
        <w:t>año</w:t>
      </w:r>
      <w:r>
        <w:rPr>
          <w:spacing w:val="-4"/>
        </w:rPr>
        <w:t> </w:t>
      </w:r>
      <w:r>
        <w:rPr>
          <w:spacing w:val="-5"/>
        </w:rPr>
        <w:t>t.</w:t>
      </w:r>
    </w:p>
    <w:p>
      <w:pPr>
        <w:pStyle w:val="BodyText"/>
        <w:spacing w:before="230"/>
        <w:ind w:left="966" w:right="187"/>
      </w:pPr>
      <w:r>
        <w:rPr/>
        <w:t>PIBpc</w:t>
      </w:r>
      <w:r>
        <w:rPr>
          <w:position w:val="-3"/>
        </w:rPr>
        <w:t>i,t-1 </w:t>
      </w:r>
      <w:r>
        <w:rPr/>
        <w:t>es el último Producto Interno Bruto per cápita no minero y no petrolero de la entidad</w:t>
      </w:r>
      <w:r>
        <w:rPr>
          <w:spacing w:val="40"/>
        </w:rPr>
        <w:t> </w:t>
      </w:r>
      <w:r>
        <w:rPr/>
        <w:t>i construido con los últimos datos oficiales del Instituto Nacional de Estadística y Geografía.</w:t>
      </w:r>
    </w:p>
    <w:p>
      <w:pPr>
        <w:pStyle w:val="BodyText"/>
        <w:spacing w:before="229"/>
        <w:ind w:left="966"/>
      </w:pPr>
      <w:r>
        <w:rPr/>
        <w:t>FC</w:t>
      </w:r>
      <w:r>
        <w:rPr>
          <w:position w:val="-3"/>
        </w:rPr>
        <w:t>t</w:t>
      </w:r>
      <w:r>
        <w:rPr>
          <w:spacing w:val="-6"/>
          <w:position w:val="-3"/>
        </w:rPr>
        <w:t> </w:t>
      </w:r>
      <w:r>
        <w:rPr/>
        <w:t>es</w:t>
      </w:r>
      <w:r>
        <w:rPr>
          <w:spacing w:val="-5"/>
        </w:rPr>
        <w:t> </w:t>
      </w:r>
      <w:r>
        <w:rPr/>
        <w:t>el</w:t>
      </w:r>
      <w:r>
        <w:rPr>
          <w:spacing w:val="-5"/>
        </w:rPr>
        <w:t> </w:t>
      </w:r>
      <w:r>
        <w:rPr/>
        <w:t>Fondo</w:t>
      </w:r>
      <w:r>
        <w:rPr>
          <w:spacing w:val="-6"/>
        </w:rPr>
        <w:t> </w:t>
      </w:r>
      <w:r>
        <w:rPr/>
        <w:t>de</w:t>
      </w:r>
      <w:r>
        <w:rPr>
          <w:spacing w:val="-6"/>
        </w:rPr>
        <w:t> </w:t>
      </w:r>
      <w:r>
        <w:rPr/>
        <w:t>Compensación</w:t>
      </w:r>
      <w:r>
        <w:rPr>
          <w:spacing w:val="-4"/>
        </w:rPr>
        <w:t> </w:t>
      </w:r>
      <w:r>
        <w:rPr/>
        <w:t>en</w:t>
      </w:r>
      <w:r>
        <w:rPr>
          <w:spacing w:val="-5"/>
        </w:rPr>
        <w:t> </w:t>
      </w:r>
      <w:r>
        <w:rPr/>
        <w:t>el</w:t>
      </w:r>
      <w:r>
        <w:rPr>
          <w:spacing w:val="-5"/>
        </w:rPr>
        <w:t> </w:t>
      </w:r>
      <w:r>
        <w:rPr/>
        <w:t>año</w:t>
      </w:r>
      <w:r>
        <w:rPr>
          <w:spacing w:val="-4"/>
        </w:rPr>
        <w:t> </w:t>
      </w:r>
      <w:r>
        <w:rPr>
          <w:spacing w:val="-5"/>
        </w:rPr>
        <w:t>t.</w:t>
      </w:r>
    </w:p>
    <w:p>
      <w:pPr>
        <w:pStyle w:val="BodyText"/>
        <w:spacing w:before="72"/>
      </w:pPr>
    </w:p>
    <w:p>
      <w:pPr>
        <w:spacing w:line="220" w:lineRule="exact" w:before="0"/>
        <w:ind w:left="989" w:right="0" w:firstLine="0"/>
        <w:jc w:val="left"/>
        <w:rPr>
          <w:rFonts w:ascii="Symbol" w:hAnsi="Symbol"/>
          <w:sz w:val="22"/>
        </w:rPr>
      </w:pPr>
      <w:r>
        <w:rPr>
          <w:rFonts w:ascii="Symbol" w:hAnsi="Symbol"/>
          <w:spacing w:val="-10"/>
          <w:sz w:val="22"/>
        </w:rPr>
        <w:t></w:t>
      </w:r>
    </w:p>
    <w:p>
      <w:pPr>
        <w:pStyle w:val="BodyText"/>
        <w:spacing w:line="180" w:lineRule="exact"/>
        <w:ind w:left="1056"/>
      </w:pPr>
      <w:r>
        <w:rPr>
          <w:rFonts w:ascii="Times New Roman"/>
          <w:i/>
          <w:position w:val="3"/>
          <w:sz w:val="8"/>
        </w:rPr>
        <w:t>i</w:t>
      </w:r>
      <w:r>
        <w:rPr>
          <w:rFonts w:ascii="Times New Roman"/>
          <w:i/>
          <w:spacing w:val="62"/>
          <w:position w:val="3"/>
          <w:sz w:val="8"/>
        </w:rPr>
        <w:t>  </w:t>
      </w:r>
      <w:r>
        <w:rPr/>
        <w:t>es</w:t>
      </w:r>
      <w:r>
        <w:rPr>
          <w:spacing w:val="-3"/>
        </w:rPr>
        <w:t> </w:t>
      </w:r>
      <w:r>
        <w:rPr/>
        <w:t>la</w:t>
      </w:r>
      <w:r>
        <w:rPr>
          <w:spacing w:val="-5"/>
        </w:rPr>
        <w:t> </w:t>
      </w:r>
      <w:r>
        <w:rPr/>
        <w:t>sumatoria</w:t>
      </w:r>
      <w:r>
        <w:rPr>
          <w:spacing w:val="-3"/>
        </w:rPr>
        <w:t> </w:t>
      </w:r>
      <w:r>
        <w:rPr/>
        <w:t>de</w:t>
      </w:r>
      <w:r>
        <w:rPr>
          <w:spacing w:val="-3"/>
        </w:rPr>
        <w:t> </w:t>
      </w:r>
      <w:r>
        <w:rPr/>
        <w:t>la</w:t>
      </w:r>
      <w:r>
        <w:rPr>
          <w:spacing w:val="-3"/>
        </w:rPr>
        <w:t> </w:t>
      </w:r>
      <w:r>
        <w:rPr/>
        <w:t>variable</w:t>
      </w:r>
      <w:r>
        <w:rPr>
          <w:spacing w:val="-4"/>
        </w:rPr>
        <w:t> </w:t>
      </w:r>
      <w:r>
        <w:rPr/>
        <w:t>que</w:t>
      </w:r>
      <w:r>
        <w:rPr>
          <w:spacing w:val="-4"/>
        </w:rPr>
        <w:t> </w:t>
      </w:r>
      <w:r>
        <w:rPr/>
        <w:t>le</w:t>
      </w:r>
      <w:r>
        <w:rPr>
          <w:spacing w:val="-5"/>
        </w:rPr>
        <w:t> </w:t>
      </w:r>
      <w:r>
        <w:rPr>
          <w:spacing w:val="-2"/>
        </w:rPr>
        <w:t>sigue.</w:t>
      </w:r>
    </w:p>
    <w:p>
      <w:pPr>
        <w:pStyle w:val="BodyText"/>
        <w:spacing w:before="1"/>
      </w:pPr>
    </w:p>
    <w:p>
      <w:pPr>
        <w:pStyle w:val="BodyText"/>
        <w:ind w:left="721" w:right="143"/>
        <w:jc w:val="both"/>
      </w:pPr>
      <w:r>
        <w:rPr/>
        <w:t>La Secretaría de Hacienda y Crédito Público enterará a las entidades las cantidades a que se refiere este artículo, dentro del mes siguiente al entero de dichas cantidades por parte de Petróleos Mexicanos, de los permisionarios para actividades de tratamiento y refinación de petróleo, y por aquéllos que realicen la importación al país de gasolinas y diesel.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721" w:right="146"/>
        <w:jc w:val="both"/>
      </w:pPr>
      <w:r>
        <w:rPr/>
        <w:t>La Comisión Permanente de Funcionarios Fiscales, en conjunto con la Secretaría de Hacienda y Crédito Público, deberá presentar al Congreso de la Unión una evaluación sobre los resultados y desempeño del Fondo a que se refiere esta fracción, así como sobre la conveniencia de conservar o modificar las reglas de su distribución. Dicha evaluación deberá presentarse en el mes de enero del año 2018 y posteriormente cada 5 años en caso de no modificarse las reglas</w:t>
      </w:r>
      <w:r>
        <w:rPr>
          <w:spacing w:val="40"/>
        </w:rPr>
        <w:t> </w:t>
      </w:r>
      <w:r>
        <w:rPr/>
        <w:t>de distribución.</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 w:firstLine="288"/>
      </w:pPr>
      <w:r>
        <w:rPr/>
        <w:t>Los</w:t>
      </w:r>
      <w:r>
        <w:rPr>
          <w:spacing w:val="30"/>
        </w:rPr>
        <w:t> </w:t>
      </w:r>
      <w:r>
        <w:rPr/>
        <w:t>municipios</w:t>
      </w:r>
      <w:r>
        <w:rPr>
          <w:spacing w:val="34"/>
        </w:rPr>
        <w:t> </w:t>
      </w:r>
      <w:r>
        <w:rPr/>
        <w:t>y</w:t>
      </w:r>
      <w:r>
        <w:rPr>
          <w:spacing w:val="26"/>
        </w:rPr>
        <w:t> </w:t>
      </w:r>
      <w:r>
        <w:rPr/>
        <w:t>demarcaciones</w:t>
      </w:r>
      <w:r>
        <w:rPr>
          <w:spacing w:val="29"/>
        </w:rPr>
        <w:t> </w:t>
      </w:r>
      <w:r>
        <w:rPr/>
        <w:t>territoriales</w:t>
      </w:r>
      <w:r>
        <w:rPr>
          <w:spacing w:val="29"/>
        </w:rPr>
        <w:t> </w:t>
      </w:r>
      <w:r>
        <w:rPr/>
        <w:t>recibirán</w:t>
      </w:r>
      <w:r>
        <w:rPr>
          <w:spacing w:val="28"/>
        </w:rPr>
        <w:t> </w:t>
      </w:r>
      <w:r>
        <w:rPr/>
        <w:t>como</w:t>
      </w:r>
      <w:r>
        <w:rPr>
          <w:spacing w:val="26"/>
        </w:rPr>
        <w:t> </w:t>
      </w:r>
      <w:r>
        <w:rPr/>
        <w:t>mínimo</w:t>
      </w:r>
      <w:r>
        <w:rPr>
          <w:spacing w:val="28"/>
        </w:rPr>
        <w:t> </w:t>
      </w:r>
      <w:r>
        <w:rPr/>
        <w:t>el</w:t>
      </w:r>
      <w:r>
        <w:rPr>
          <w:spacing w:val="27"/>
        </w:rPr>
        <w:t> </w:t>
      </w:r>
      <w:r>
        <w:rPr/>
        <w:t>20%</w:t>
      </w:r>
      <w:r>
        <w:rPr>
          <w:spacing w:val="29"/>
        </w:rPr>
        <w:t> </w:t>
      </w:r>
      <w:r>
        <w:rPr/>
        <w:t>de</w:t>
      </w:r>
      <w:r>
        <w:rPr>
          <w:spacing w:val="28"/>
        </w:rPr>
        <w:t> </w:t>
      </w:r>
      <w:r>
        <w:rPr/>
        <w:t>la</w:t>
      </w:r>
      <w:r>
        <w:rPr>
          <w:spacing w:val="28"/>
        </w:rPr>
        <w:t> </w:t>
      </w:r>
      <w:r>
        <w:rPr/>
        <w:t>recaudación</w:t>
      </w:r>
      <w:r>
        <w:rPr>
          <w:spacing w:val="30"/>
        </w:rPr>
        <w:t> </w:t>
      </w:r>
      <w:r>
        <w:rPr/>
        <w:t>que corresponda</w:t>
      </w:r>
      <w:r>
        <w:rPr>
          <w:spacing w:val="41"/>
        </w:rPr>
        <w:t> </w:t>
      </w:r>
      <w:r>
        <w:rPr/>
        <w:t>a</w:t>
      </w:r>
      <w:r>
        <w:rPr>
          <w:spacing w:val="40"/>
        </w:rPr>
        <w:t> </w:t>
      </w:r>
      <w:r>
        <w:rPr/>
        <w:t>las</w:t>
      </w:r>
      <w:r>
        <w:rPr>
          <w:spacing w:val="41"/>
        </w:rPr>
        <w:t> </w:t>
      </w:r>
      <w:r>
        <w:rPr/>
        <w:t>entidades</w:t>
      </w:r>
      <w:r>
        <w:rPr>
          <w:spacing w:val="41"/>
        </w:rPr>
        <w:t> </w:t>
      </w:r>
      <w:r>
        <w:rPr/>
        <w:t>federativas</w:t>
      </w:r>
      <w:r>
        <w:rPr>
          <w:spacing w:val="41"/>
        </w:rPr>
        <w:t> </w:t>
      </w:r>
      <w:r>
        <w:rPr/>
        <w:t>en</w:t>
      </w:r>
      <w:r>
        <w:rPr>
          <w:spacing w:val="40"/>
        </w:rPr>
        <w:t> </w:t>
      </w:r>
      <w:r>
        <w:rPr/>
        <w:t>términos</w:t>
      </w:r>
      <w:r>
        <w:rPr>
          <w:spacing w:val="41"/>
        </w:rPr>
        <w:t> </w:t>
      </w:r>
      <w:r>
        <w:rPr/>
        <w:t>de</w:t>
      </w:r>
      <w:r>
        <w:rPr>
          <w:spacing w:val="40"/>
        </w:rPr>
        <w:t> </w:t>
      </w:r>
      <w:r>
        <w:rPr/>
        <w:t>este</w:t>
      </w:r>
      <w:r>
        <w:rPr>
          <w:spacing w:val="42"/>
        </w:rPr>
        <w:t> </w:t>
      </w:r>
      <w:r>
        <w:rPr/>
        <w:t>artículo.</w:t>
      </w:r>
      <w:r>
        <w:rPr>
          <w:spacing w:val="40"/>
        </w:rPr>
        <w:t> </w:t>
      </w:r>
      <w:r>
        <w:rPr/>
        <w:t>La</w:t>
      </w:r>
      <w:r>
        <w:rPr>
          <w:spacing w:val="40"/>
        </w:rPr>
        <w:t> </w:t>
      </w:r>
      <w:r>
        <w:rPr/>
        <w:t>distribución</w:t>
      </w:r>
      <w:r>
        <w:rPr>
          <w:spacing w:val="40"/>
        </w:rPr>
        <w:t> </w:t>
      </w:r>
      <w:r>
        <w:rPr/>
        <w:t>del</w:t>
      </w:r>
      <w:r>
        <w:rPr>
          <w:spacing w:val="41"/>
        </w:rPr>
        <w:t> </w:t>
      </w:r>
      <w:r>
        <w:rPr>
          <w:spacing w:val="-2"/>
        </w:rPr>
        <w:t>porcentaje</w:t>
      </w:r>
    </w:p>
    <w:p>
      <w:pPr>
        <w:pStyle w:val="BodyText"/>
        <w:spacing w:after="0"/>
        <w:sectPr>
          <w:pgSz w:w="12250" w:h="15850"/>
          <w:pgMar w:header="724" w:footer="712" w:top="1880" w:bottom="900" w:left="1417" w:right="1275"/>
        </w:sectPr>
      </w:pPr>
    </w:p>
    <w:p>
      <w:pPr>
        <w:pStyle w:val="BodyText"/>
        <w:spacing w:before="67"/>
      </w:pPr>
    </w:p>
    <w:p>
      <w:pPr>
        <w:pStyle w:val="BodyText"/>
        <w:ind w:left="1"/>
      </w:pPr>
      <w:r>
        <w:rPr/>
        <w:t>mencionado por parte de las entidades federativas a los municipios y demarcaciones territoriales deberá realizarse cuando menos en un 70% atendiendo a los niveles de población.</w:t>
      </w:r>
    </w:p>
    <w:p>
      <w:pPr>
        <w:pStyle w:val="BodyText"/>
        <w:spacing w:before="229"/>
        <w:ind w:left="1" w:right="147" w:firstLine="288"/>
        <w:jc w:val="both"/>
      </w:pPr>
      <w:r>
        <w:rPr/>
        <w:t>Las entidades deberán incluir en las publicaciones a que se refiere el artículo 6o., último párrafo de esta Ley, los recursos que en términos de este artículo correspondan a sus municipios, y en el caso del Distrito Federal, a sus demarcaciones territoriales, así como acreditar su cumplimiento a la Secretaría de Hacienda y Crédito Público.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declarado</w:t>
      </w:r>
      <w:r>
        <w:rPr>
          <w:rFonts w:ascii="Times New Roman" w:hAnsi="Times New Roman"/>
          <w:i/>
          <w:color w:val="0000FF"/>
          <w:spacing w:val="-6"/>
          <w:sz w:val="16"/>
        </w:rPr>
        <w:t> </w:t>
      </w:r>
      <w:r>
        <w:rPr>
          <w:rFonts w:ascii="Times New Roman" w:hAnsi="Times New Roman"/>
          <w:i/>
          <w:color w:val="0000FF"/>
          <w:sz w:val="16"/>
        </w:rPr>
        <w:t>inválido</w:t>
      </w:r>
      <w:r>
        <w:rPr>
          <w:rFonts w:ascii="Times New Roman" w:hAnsi="Times New Roman"/>
          <w:i/>
          <w:color w:val="0000FF"/>
          <w:spacing w:val="-7"/>
          <w:sz w:val="16"/>
        </w:rPr>
        <w:t> </w:t>
      </w:r>
      <w:r>
        <w:rPr>
          <w:rFonts w:ascii="Times New Roman" w:hAnsi="Times New Roman"/>
          <w:i/>
          <w:color w:val="0000FF"/>
          <w:sz w:val="16"/>
        </w:rPr>
        <w:t>por</w:t>
      </w:r>
      <w:r>
        <w:rPr>
          <w:rFonts w:ascii="Times New Roman" w:hAnsi="Times New Roman"/>
          <w:i/>
          <w:color w:val="0000FF"/>
          <w:spacing w:val="-7"/>
          <w:sz w:val="16"/>
        </w:rPr>
        <w:t> </w:t>
      </w:r>
      <w:r>
        <w:rPr>
          <w:rFonts w:ascii="Times New Roman" w:hAnsi="Times New Roman"/>
          <w:i/>
          <w:color w:val="0000FF"/>
          <w:sz w:val="16"/>
        </w:rPr>
        <w:t>sentencia</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7"/>
          <w:sz w:val="16"/>
        </w:rPr>
        <w:t> </w:t>
      </w:r>
      <w:r>
        <w:rPr>
          <w:rFonts w:ascii="Times New Roman" w:hAnsi="Times New Roman"/>
          <w:i/>
          <w:color w:val="0000FF"/>
          <w:sz w:val="16"/>
        </w:rPr>
        <w:t>SCJN</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Acción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Inconstitucionalidad</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11-07-2008.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09-12-</w:t>
      </w:r>
      <w:r>
        <w:rPr>
          <w:rFonts w:ascii="Times New Roman" w:hAnsi="Times New Roman"/>
          <w:i/>
          <w:color w:val="0000FF"/>
          <w:spacing w:val="-4"/>
          <w:sz w:val="16"/>
        </w:rPr>
        <w:t>2013</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7"/>
        <w:rPr>
          <w:rFonts w:ascii="Times New Roman"/>
          <w:i/>
          <w:sz w:val="16"/>
        </w:rPr>
      </w:pPr>
    </w:p>
    <w:p>
      <w:pPr>
        <w:pStyle w:val="BodyText"/>
        <w:spacing w:before="1"/>
        <w:ind w:left="1" w:right="150" w:firstLine="288"/>
        <w:jc w:val="both"/>
      </w:pPr>
      <w:bookmarkStart w:name="Artículo_4o_B" w:id="9"/>
      <w:bookmarkEnd w:id="9"/>
      <w:r>
        <w:rPr/>
      </w:r>
      <w:r>
        <w:rPr>
          <w:rFonts w:ascii="Arial" w:hAnsi="Arial"/>
          <w:b/>
        </w:rPr>
        <w:t>Artículo 4o-B. </w:t>
      </w:r>
      <w:r>
        <w:rPr/>
        <w:t>El Fondo de Extracción de Hidrocarburos estará conformado por los recursos que le transfiera el Fondo Mexicano del Petróleo para la Estabilización y el Desarrollo, en términos del artículo 91 de la Ley Federal de Presupuesto y Responsabilidad Hacendaria.</w:t>
      </w:r>
    </w:p>
    <w:p>
      <w:pPr>
        <w:spacing w:line="183" w:lineRule="exact" w:before="0"/>
        <w:ind w:left="620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31-12-2008,</w:t>
      </w:r>
      <w:r>
        <w:rPr>
          <w:rFonts w:ascii="Times New Roman" w:hAnsi="Times New Roman"/>
          <w:i/>
          <w:color w:val="0000FF"/>
          <w:spacing w:val="-8"/>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 w:right="139" w:firstLine="288"/>
        <w:jc w:val="both"/>
      </w:pPr>
      <w:r>
        <w:rPr/>
        <w:t>El</w:t>
      </w:r>
      <w:r>
        <w:rPr>
          <w:spacing w:val="-1"/>
        </w:rPr>
        <w:t> </w:t>
      </w:r>
      <w:r>
        <w:rPr/>
        <w:t>Fondo</w:t>
      </w:r>
      <w:r>
        <w:rPr>
          <w:spacing w:val="-1"/>
        </w:rPr>
        <w:t> </w:t>
      </w:r>
      <w:r>
        <w:rPr/>
        <w:t>a</w:t>
      </w:r>
      <w:r>
        <w:rPr>
          <w:spacing w:val="-2"/>
        </w:rPr>
        <w:t> </w:t>
      </w:r>
      <w:r>
        <w:rPr/>
        <w:t>que se</w:t>
      </w:r>
      <w:r>
        <w:rPr>
          <w:spacing w:val="-2"/>
        </w:rPr>
        <w:t> </w:t>
      </w:r>
      <w:r>
        <w:rPr/>
        <w:t>refiere este</w:t>
      </w:r>
      <w:r>
        <w:rPr>
          <w:spacing w:val="-3"/>
        </w:rPr>
        <w:t> </w:t>
      </w:r>
      <w:r>
        <w:rPr/>
        <w:t>artículo</w:t>
      </w:r>
      <w:r>
        <w:rPr>
          <w:spacing w:val="-2"/>
        </w:rPr>
        <w:t> </w:t>
      </w:r>
      <w:r>
        <w:rPr/>
        <w:t>será</w:t>
      </w:r>
      <w:r>
        <w:rPr>
          <w:spacing w:val="-2"/>
        </w:rPr>
        <w:t> </w:t>
      </w:r>
      <w:r>
        <w:rPr/>
        <w:t>distribuido entre aquellas entidades que</w:t>
      </w:r>
      <w:r>
        <w:rPr>
          <w:spacing w:val="-3"/>
        </w:rPr>
        <w:t> </w:t>
      </w:r>
      <w:r>
        <w:rPr/>
        <w:t>formen</w:t>
      </w:r>
      <w:r>
        <w:rPr>
          <w:spacing w:val="-3"/>
        </w:rPr>
        <w:t> </w:t>
      </w:r>
      <w:r>
        <w:rPr/>
        <w:t>parte de la clasificación de extracción de petróleo y gas definida en el último censo económico realizado por el Instituto Nacional de Estadística y Geografía, de acuerdo a la fórmula siguiente:</w:t>
      </w:r>
    </w:p>
    <w:p>
      <w:pPr>
        <w:pStyle w:val="BodyText"/>
        <w:spacing w:before="8"/>
        <w:rPr>
          <w:sz w:val="17"/>
        </w:rPr>
      </w:pPr>
      <w:r>
        <w:rPr>
          <w:sz w:val="17"/>
        </w:rPr>
        <w:drawing>
          <wp:anchor distT="0" distB="0" distL="0" distR="0" allowOverlap="1" layoutInCell="1" locked="0" behindDoc="1" simplePos="0" relativeHeight="487600640">
            <wp:simplePos x="0" y="0"/>
            <wp:positionH relativeFrom="page">
              <wp:posOffset>2593975</wp:posOffset>
            </wp:positionH>
            <wp:positionV relativeFrom="paragraph">
              <wp:posOffset>145074</wp:posOffset>
            </wp:positionV>
            <wp:extent cx="2590193" cy="343662"/>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24" cstate="print"/>
                    <a:stretch>
                      <a:fillRect/>
                    </a:stretch>
                  </pic:blipFill>
                  <pic:spPr>
                    <a:xfrm>
                      <a:off x="0" y="0"/>
                      <a:ext cx="2590193" cy="343662"/>
                    </a:xfrm>
                    <a:prstGeom prst="rect">
                      <a:avLst/>
                    </a:prstGeom>
                  </pic:spPr>
                </pic:pic>
              </a:graphicData>
            </a:graphic>
          </wp:anchor>
        </w:drawing>
      </w:r>
    </w:p>
    <w:p>
      <w:pPr>
        <w:pStyle w:val="BodyText"/>
        <w:spacing w:before="227"/>
        <w:ind w:left="577"/>
      </w:pPr>
      <w:r>
        <w:rPr/>
        <w:t>Donde</w:t>
      </w:r>
      <w:r>
        <w:rPr>
          <w:spacing w:val="-6"/>
        </w:rPr>
        <w:t> </w:t>
      </w:r>
      <w:r>
        <w:rPr/>
        <w:t>FEXHI</w:t>
      </w:r>
      <w:r>
        <w:rPr>
          <w:position w:val="-3"/>
        </w:rPr>
        <w:t>t</w:t>
      </w:r>
      <w:r>
        <w:rPr>
          <w:spacing w:val="-6"/>
          <w:position w:val="-3"/>
        </w:rPr>
        <w:t> </w:t>
      </w:r>
      <w:r>
        <w:rPr/>
        <w:t>se</w:t>
      </w:r>
      <w:r>
        <w:rPr>
          <w:spacing w:val="-4"/>
        </w:rPr>
        <w:t> </w:t>
      </w:r>
      <w:r>
        <w:rPr/>
        <w:t>refiere</w:t>
      </w:r>
      <w:r>
        <w:rPr>
          <w:spacing w:val="-6"/>
        </w:rPr>
        <w:t> </w:t>
      </w:r>
      <w:r>
        <w:rPr/>
        <w:t>al</w:t>
      </w:r>
      <w:r>
        <w:rPr>
          <w:spacing w:val="-5"/>
        </w:rPr>
        <w:t> </w:t>
      </w:r>
      <w:r>
        <w:rPr/>
        <w:t>Fondo</w:t>
      </w:r>
      <w:r>
        <w:rPr>
          <w:spacing w:val="-5"/>
        </w:rPr>
        <w:t> </w:t>
      </w:r>
      <w:r>
        <w:rPr/>
        <w:t>de</w:t>
      </w:r>
      <w:r>
        <w:rPr>
          <w:spacing w:val="-5"/>
        </w:rPr>
        <w:t> </w:t>
      </w:r>
      <w:r>
        <w:rPr/>
        <w:t>Extracción</w:t>
      </w:r>
      <w:r>
        <w:rPr>
          <w:spacing w:val="-4"/>
        </w:rPr>
        <w:t> </w:t>
      </w:r>
      <w:r>
        <w:rPr/>
        <w:t>de</w:t>
      </w:r>
      <w:r>
        <w:rPr>
          <w:spacing w:val="-5"/>
        </w:rPr>
        <w:t> </w:t>
      </w:r>
      <w:r>
        <w:rPr/>
        <w:t>Hidrocarburos</w:t>
      </w:r>
      <w:r>
        <w:rPr>
          <w:spacing w:val="-5"/>
        </w:rPr>
        <w:t> </w:t>
      </w:r>
      <w:r>
        <w:rPr/>
        <w:t>en</w:t>
      </w:r>
      <w:r>
        <w:rPr>
          <w:spacing w:val="-6"/>
        </w:rPr>
        <w:t> </w:t>
      </w:r>
      <w:r>
        <w:rPr/>
        <w:t>el</w:t>
      </w:r>
      <w:r>
        <w:rPr>
          <w:spacing w:val="-7"/>
        </w:rPr>
        <w:t> </w:t>
      </w:r>
      <w:r>
        <w:rPr/>
        <w:t>año</w:t>
      </w:r>
      <w:r>
        <w:rPr>
          <w:spacing w:val="-6"/>
        </w:rPr>
        <w:t> </w:t>
      </w:r>
      <w:r>
        <w:rPr/>
        <w:t>a</w:t>
      </w:r>
      <w:r>
        <w:rPr>
          <w:spacing w:val="-6"/>
        </w:rPr>
        <w:t> </w:t>
      </w:r>
      <w:r>
        <w:rPr>
          <w:spacing w:val="-2"/>
        </w:rPr>
        <w:t>repartir.</w:t>
      </w:r>
    </w:p>
    <w:p>
      <w:pPr>
        <w:pStyle w:val="BodyText"/>
        <w:spacing w:before="9"/>
        <w:rPr>
          <w:sz w:val="17"/>
        </w:rPr>
      </w:pPr>
      <w:r>
        <w:rPr>
          <w:sz w:val="17"/>
        </w:rPr>
        <w:drawing>
          <wp:anchor distT="0" distB="0" distL="0" distR="0" allowOverlap="1" layoutInCell="1" locked="0" behindDoc="1" simplePos="0" relativeHeight="487601152">
            <wp:simplePos x="0" y="0"/>
            <wp:positionH relativeFrom="page">
              <wp:posOffset>3100070</wp:posOffset>
            </wp:positionH>
            <wp:positionV relativeFrom="paragraph">
              <wp:posOffset>145300</wp:posOffset>
            </wp:positionV>
            <wp:extent cx="1574621" cy="804481"/>
            <wp:effectExtent l="0" t="0" r="0" b="0"/>
            <wp:wrapTopAndBottom/>
            <wp:docPr id="49" name="Image 49"/>
            <wp:cNvGraphicFramePr>
              <a:graphicFrameLocks/>
            </wp:cNvGraphicFramePr>
            <a:graphic>
              <a:graphicData uri="http://schemas.openxmlformats.org/drawingml/2006/picture">
                <pic:pic>
                  <pic:nvPicPr>
                    <pic:cNvPr id="49" name="Image 49"/>
                    <pic:cNvPicPr/>
                  </pic:nvPicPr>
                  <pic:blipFill>
                    <a:blip r:embed="rId25" cstate="print"/>
                    <a:stretch>
                      <a:fillRect/>
                    </a:stretch>
                  </pic:blipFill>
                  <pic:spPr>
                    <a:xfrm>
                      <a:off x="0" y="0"/>
                      <a:ext cx="1574621" cy="804481"/>
                    </a:xfrm>
                    <a:prstGeom prst="rect">
                      <a:avLst/>
                    </a:prstGeom>
                  </pic:spPr>
                </pic:pic>
              </a:graphicData>
            </a:graphic>
          </wp:anchor>
        </w:drawing>
      </w:r>
    </w:p>
    <w:p>
      <w:pPr>
        <w:pStyle w:val="BodyText"/>
        <w:spacing w:before="229"/>
        <w:ind w:left="577"/>
      </w:pPr>
      <w:r>
        <w:rPr/>
        <w:t>es</w:t>
      </w:r>
      <w:r>
        <w:rPr>
          <w:spacing w:val="-6"/>
        </w:rPr>
        <w:t> </w:t>
      </w:r>
      <w:r>
        <w:rPr/>
        <w:t>el</w:t>
      </w:r>
      <w:r>
        <w:rPr>
          <w:spacing w:val="-7"/>
        </w:rPr>
        <w:t> </w:t>
      </w:r>
      <w:r>
        <w:rPr/>
        <w:t>coeficiente</w:t>
      </w:r>
      <w:r>
        <w:rPr>
          <w:spacing w:val="-6"/>
        </w:rPr>
        <w:t> </w:t>
      </w:r>
      <w:r>
        <w:rPr/>
        <w:t>relativo</w:t>
      </w:r>
      <w:r>
        <w:rPr>
          <w:spacing w:val="-5"/>
        </w:rPr>
        <w:t> </w:t>
      </w:r>
      <w:r>
        <w:rPr/>
        <w:t>a</w:t>
      </w:r>
      <w:r>
        <w:rPr>
          <w:spacing w:val="-4"/>
        </w:rPr>
        <w:t> </w:t>
      </w:r>
      <w:r>
        <w:rPr/>
        <w:t>la</w:t>
      </w:r>
      <w:r>
        <w:rPr>
          <w:spacing w:val="-6"/>
        </w:rPr>
        <w:t> </w:t>
      </w:r>
      <w:r>
        <w:rPr/>
        <w:t>extracción</w:t>
      </w:r>
      <w:r>
        <w:rPr>
          <w:spacing w:val="-6"/>
        </w:rPr>
        <w:t> </w:t>
      </w:r>
      <w:r>
        <w:rPr/>
        <w:t>de</w:t>
      </w:r>
      <w:r>
        <w:rPr>
          <w:spacing w:val="-5"/>
        </w:rPr>
        <w:t> </w:t>
      </w:r>
      <w:r>
        <w:rPr/>
        <w:t>petróleo</w:t>
      </w:r>
      <w:r>
        <w:rPr>
          <w:spacing w:val="-4"/>
        </w:rPr>
        <w:t> </w:t>
      </w:r>
      <w:r>
        <w:rPr/>
        <w:t>y</w:t>
      </w:r>
      <w:r>
        <w:rPr>
          <w:spacing w:val="-7"/>
        </w:rPr>
        <w:t> </w:t>
      </w:r>
      <w:r>
        <w:rPr>
          <w:spacing w:val="-4"/>
        </w:rPr>
        <w:t>gas.</w:t>
      </w:r>
    </w:p>
    <w:p>
      <w:pPr>
        <w:pStyle w:val="BodyText"/>
        <w:spacing w:before="8"/>
        <w:rPr>
          <w:sz w:val="17"/>
        </w:rPr>
      </w:pPr>
      <w:r>
        <w:rPr>
          <w:sz w:val="17"/>
        </w:rPr>
        <w:drawing>
          <wp:anchor distT="0" distB="0" distL="0" distR="0" allowOverlap="1" layoutInCell="1" locked="0" behindDoc="1" simplePos="0" relativeHeight="487601664">
            <wp:simplePos x="0" y="0"/>
            <wp:positionH relativeFrom="page">
              <wp:posOffset>3049270</wp:posOffset>
            </wp:positionH>
            <wp:positionV relativeFrom="paragraph">
              <wp:posOffset>144855</wp:posOffset>
            </wp:positionV>
            <wp:extent cx="1676374" cy="804481"/>
            <wp:effectExtent l="0" t="0" r="0" b="0"/>
            <wp:wrapTopAndBottom/>
            <wp:docPr id="50" name="Image 50"/>
            <wp:cNvGraphicFramePr>
              <a:graphicFrameLocks/>
            </wp:cNvGraphicFramePr>
            <a:graphic>
              <a:graphicData uri="http://schemas.openxmlformats.org/drawingml/2006/picture">
                <pic:pic>
                  <pic:nvPicPr>
                    <pic:cNvPr id="50" name="Image 50"/>
                    <pic:cNvPicPr/>
                  </pic:nvPicPr>
                  <pic:blipFill>
                    <a:blip r:embed="rId26" cstate="print"/>
                    <a:stretch>
                      <a:fillRect/>
                    </a:stretch>
                  </pic:blipFill>
                  <pic:spPr>
                    <a:xfrm>
                      <a:off x="0" y="0"/>
                      <a:ext cx="1676374" cy="804481"/>
                    </a:xfrm>
                    <a:prstGeom prst="rect">
                      <a:avLst/>
                    </a:prstGeom>
                  </pic:spPr>
                </pic:pic>
              </a:graphicData>
            </a:graphic>
          </wp:anchor>
        </w:drawing>
      </w:r>
    </w:p>
    <w:p>
      <w:pPr>
        <w:pStyle w:val="BodyText"/>
        <w:spacing w:before="229"/>
        <w:ind w:left="577"/>
      </w:pPr>
      <w:r>
        <w:rPr/>
        <w:t>es</w:t>
      </w:r>
      <w:r>
        <w:rPr>
          <w:spacing w:val="-6"/>
        </w:rPr>
        <w:t> </w:t>
      </w:r>
      <w:r>
        <w:rPr/>
        <w:t>el</w:t>
      </w:r>
      <w:r>
        <w:rPr>
          <w:spacing w:val="-6"/>
        </w:rPr>
        <w:t> </w:t>
      </w:r>
      <w:r>
        <w:rPr/>
        <w:t>coeficiente</w:t>
      </w:r>
      <w:r>
        <w:rPr>
          <w:spacing w:val="-6"/>
        </w:rPr>
        <w:t> </w:t>
      </w:r>
      <w:r>
        <w:rPr/>
        <w:t>relativo</w:t>
      </w:r>
      <w:r>
        <w:rPr>
          <w:spacing w:val="-5"/>
        </w:rPr>
        <w:t> </w:t>
      </w:r>
      <w:r>
        <w:rPr/>
        <w:t>a</w:t>
      </w:r>
      <w:r>
        <w:rPr>
          <w:spacing w:val="-4"/>
        </w:rPr>
        <w:t> </w:t>
      </w:r>
      <w:r>
        <w:rPr/>
        <w:t>la</w:t>
      </w:r>
      <w:r>
        <w:rPr>
          <w:spacing w:val="-6"/>
        </w:rPr>
        <w:t> </w:t>
      </w:r>
      <w:r>
        <w:rPr/>
        <w:t>producción</w:t>
      </w:r>
      <w:r>
        <w:rPr>
          <w:spacing w:val="-5"/>
        </w:rPr>
        <w:t> </w:t>
      </w:r>
      <w:r>
        <w:rPr/>
        <w:t>de</w:t>
      </w:r>
      <w:r>
        <w:rPr>
          <w:spacing w:val="-5"/>
        </w:rPr>
        <w:t> </w:t>
      </w:r>
      <w:r>
        <w:rPr/>
        <w:t>gas</w:t>
      </w:r>
      <w:r>
        <w:rPr>
          <w:spacing w:val="-5"/>
        </w:rPr>
        <w:t> </w:t>
      </w:r>
      <w:r>
        <w:rPr/>
        <w:t>asociado</w:t>
      </w:r>
      <w:r>
        <w:rPr>
          <w:spacing w:val="-2"/>
        </w:rPr>
        <w:t> </w:t>
      </w:r>
      <w:r>
        <w:rPr/>
        <w:t>y</w:t>
      </w:r>
      <w:r>
        <w:rPr>
          <w:spacing w:val="-9"/>
        </w:rPr>
        <w:t> </w:t>
      </w:r>
      <w:r>
        <w:rPr/>
        <w:t>no</w:t>
      </w:r>
      <w:r>
        <w:rPr>
          <w:spacing w:val="-4"/>
        </w:rPr>
        <w:t> </w:t>
      </w:r>
      <w:r>
        <w:rPr>
          <w:spacing w:val="-2"/>
        </w:rPr>
        <w:t>asociado.</w:t>
      </w:r>
    </w:p>
    <w:p>
      <w:pPr>
        <w:pStyle w:val="BodyText"/>
        <w:spacing w:before="229"/>
        <w:ind w:left="289" w:right="140" w:firstLine="288"/>
        <w:jc w:val="both"/>
      </w:pPr>
      <w:r>
        <w:rPr/>
        <w:t>EXP</w:t>
      </w:r>
      <w:r>
        <w:rPr>
          <w:position w:val="-3"/>
        </w:rPr>
        <w:t>i,t-1</w:t>
      </w:r>
      <w:r>
        <w:rPr>
          <w:spacing w:val="-3"/>
          <w:position w:val="-3"/>
        </w:rPr>
        <w:t> </w:t>
      </w:r>
      <w:r>
        <w:rPr/>
        <w:t>es el</w:t>
      </w:r>
      <w:r>
        <w:rPr>
          <w:spacing w:val="-2"/>
        </w:rPr>
        <w:t> </w:t>
      </w:r>
      <w:r>
        <w:rPr/>
        <w:t>valor</w:t>
      </w:r>
      <w:r>
        <w:rPr>
          <w:spacing w:val="-3"/>
        </w:rPr>
        <w:t> </w:t>
      </w:r>
      <w:r>
        <w:rPr/>
        <w:t>de</w:t>
      </w:r>
      <w:r>
        <w:rPr>
          <w:spacing w:val="-3"/>
        </w:rPr>
        <w:t> </w:t>
      </w:r>
      <w:r>
        <w:rPr/>
        <w:t>extracción</w:t>
      </w:r>
      <w:r>
        <w:rPr>
          <w:spacing w:val="-4"/>
        </w:rPr>
        <w:t> </w:t>
      </w:r>
      <w:r>
        <w:rPr/>
        <w:t>bruta</w:t>
      </w:r>
      <w:r>
        <w:rPr>
          <w:spacing w:val="-2"/>
        </w:rPr>
        <w:t> </w:t>
      </w:r>
      <w:r>
        <w:rPr/>
        <w:t>de</w:t>
      </w:r>
      <w:r>
        <w:rPr>
          <w:spacing w:val="-2"/>
        </w:rPr>
        <w:t> </w:t>
      </w:r>
      <w:r>
        <w:rPr/>
        <w:t>los</w:t>
      </w:r>
      <w:r>
        <w:rPr>
          <w:spacing w:val="-2"/>
        </w:rPr>
        <w:t> </w:t>
      </w:r>
      <w:r>
        <w:rPr/>
        <w:t>hidrocarburos</w:t>
      </w:r>
      <w:r>
        <w:rPr>
          <w:spacing w:val="-2"/>
        </w:rPr>
        <w:t> </w:t>
      </w:r>
      <w:r>
        <w:rPr/>
        <w:t>de</w:t>
      </w:r>
      <w:r>
        <w:rPr>
          <w:spacing w:val="-2"/>
        </w:rPr>
        <w:t> </w:t>
      </w:r>
      <w:r>
        <w:rPr/>
        <w:t>la</w:t>
      </w:r>
      <w:r>
        <w:rPr>
          <w:spacing w:val="-1"/>
        </w:rPr>
        <w:t> </w:t>
      </w:r>
      <w:r>
        <w:rPr/>
        <w:t>entidad</w:t>
      </w:r>
      <w:r>
        <w:rPr>
          <w:spacing w:val="-4"/>
        </w:rPr>
        <w:t> </w:t>
      </w:r>
      <w:r>
        <w:rPr/>
        <w:t>federativa</w:t>
      </w:r>
      <w:r>
        <w:rPr>
          <w:spacing w:val="-3"/>
        </w:rPr>
        <w:t> </w:t>
      </w:r>
      <w:r>
        <w:rPr/>
        <w:t>i</w:t>
      </w:r>
      <w:r>
        <w:rPr>
          <w:spacing w:val="-2"/>
        </w:rPr>
        <w:t> </w:t>
      </w:r>
      <w:r>
        <w:rPr/>
        <w:t>conforme</w:t>
      </w:r>
      <w:r>
        <w:rPr>
          <w:spacing w:val="-3"/>
        </w:rPr>
        <w:t> </w:t>
      </w:r>
      <w:r>
        <w:rPr/>
        <w:t>a</w:t>
      </w:r>
      <w:r>
        <w:rPr>
          <w:spacing w:val="-4"/>
        </w:rPr>
        <w:t> </w:t>
      </w:r>
      <w:r>
        <w:rPr/>
        <w:t>la clasificación de extracción de petróleo y gas definida en el último censo económico realizado por el Instituto Nacional de Estadística y Geografía.</w:t>
      </w:r>
    </w:p>
    <w:p>
      <w:pPr>
        <w:pStyle w:val="BodyText"/>
      </w:pPr>
    </w:p>
    <w:p>
      <w:pPr>
        <w:pStyle w:val="BodyText"/>
        <w:ind w:left="289" w:right="146" w:firstLine="288"/>
        <w:jc w:val="both"/>
      </w:pPr>
      <w:r>
        <w:rPr/>
        <w:t>EXG</w:t>
      </w:r>
      <w:r>
        <w:rPr>
          <w:position w:val="-3"/>
        </w:rPr>
        <w:t>i,t-1 </w:t>
      </w:r>
      <w:r>
        <w:rPr/>
        <w:t>es el volumen de producción de gas natural asociado y no asociado de la entidad i, en el año anterior para el cual se realiza el cálculo, según el Sistema de Información Energética.</w:t>
      </w:r>
    </w:p>
    <w:p>
      <w:pPr>
        <w:pStyle w:val="BodyText"/>
        <w:spacing w:before="72"/>
      </w:pPr>
    </w:p>
    <w:p>
      <w:pPr>
        <w:spacing w:line="220" w:lineRule="exact" w:before="0"/>
        <w:ind w:left="600" w:right="0" w:firstLine="0"/>
        <w:jc w:val="left"/>
        <w:rPr>
          <w:rFonts w:ascii="Symbol" w:hAnsi="Symbol"/>
          <w:sz w:val="22"/>
        </w:rPr>
      </w:pPr>
      <w:r>
        <w:rPr>
          <w:rFonts w:ascii="Symbol" w:hAnsi="Symbol"/>
          <w:spacing w:val="-10"/>
          <w:sz w:val="22"/>
        </w:rPr>
        <w:t></w:t>
      </w:r>
    </w:p>
    <w:p>
      <w:pPr>
        <w:pStyle w:val="BodyText"/>
        <w:spacing w:line="179" w:lineRule="exact"/>
        <w:ind w:left="667"/>
      </w:pPr>
      <w:r>
        <w:rPr>
          <w:rFonts w:ascii="Times New Roman"/>
          <w:i/>
          <w:position w:val="3"/>
          <w:sz w:val="8"/>
        </w:rPr>
        <w:t>i</w:t>
      </w:r>
      <w:r>
        <w:rPr>
          <w:rFonts w:ascii="Times New Roman"/>
          <w:i/>
          <w:spacing w:val="64"/>
          <w:position w:val="3"/>
          <w:sz w:val="8"/>
        </w:rPr>
        <w:t>  </w:t>
      </w:r>
      <w:r>
        <w:rPr/>
        <w:t>es</w:t>
      </w:r>
      <w:r>
        <w:rPr>
          <w:spacing w:val="50"/>
        </w:rPr>
        <w:t> </w:t>
      </w:r>
      <w:r>
        <w:rPr/>
        <w:t>la</w:t>
      </w:r>
      <w:r>
        <w:rPr>
          <w:spacing w:val="51"/>
        </w:rPr>
        <w:t> </w:t>
      </w:r>
      <w:r>
        <w:rPr/>
        <w:t>sumatoria</w:t>
      </w:r>
      <w:r>
        <w:rPr>
          <w:spacing w:val="48"/>
        </w:rPr>
        <w:t> </w:t>
      </w:r>
      <w:r>
        <w:rPr/>
        <w:t>de</w:t>
      </w:r>
      <w:r>
        <w:rPr>
          <w:spacing w:val="48"/>
        </w:rPr>
        <w:t> </w:t>
      </w:r>
      <w:r>
        <w:rPr/>
        <w:t>la</w:t>
      </w:r>
      <w:r>
        <w:rPr>
          <w:spacing w:val="51"/>
        </w:rPr>
        <w:t> </w:t>
      </w:r>
      <w:r>
        <w:rPr/>
        <w:t>variable</w:t>
      </w:r>
      <w:r>
        <w:rPr>
          <w:spacing w:val="51"/>
        </w:rPr>
        <w:t> </w:t>
      </w:r>
      <w:r>
        <w:rPr/>
        <w:t>que</w:t>
      </w:r>
      <w:r>
        <w:rPr>
          <w:spacing w:val="51"/>
        </w:rPr>
        <w:t> </w:t>
      </w:r>
      <w:r>
        <w:rPr/>
        <w:t>le</w:t>
      </w:r>
      <w:r>
        <w:rPr>
          <w:spacing w:val="51"/>
        </w:rPr>
        <w:t> </w:t>
      </w:r>
      <w:r>
        <w:rPr/>
        <w:t>sigue,</w:t>
      </w:r>
      <w:r>
        <w:rPr>
          <w:spacing w:val="52"/>
        </w:rPr>
        <w:t> </w:t>
      </w:r>
      <w:r>
        <w:rPr/>
        <w:t>sobre</w:t>
      </w:r>
      <w:r>
        <w:rPr>
          <w:spacing w:val="48"/>
        </w:rPr>
        <w:t> </w:t>
      </w:r>
      <w:r>
        <w:rPr/>
        <w:t>las</w:t>
      </w:r>
      <w:r>
        <w:rPr>
          <w:spacing w:val="49"/>
        </w:rPr>
        <w:t> </w:t>
      </w:r>
      <w:r>
        <w:rPr/>
        <w:t>entidades</w:t>
      </w:r>
      <w:r>
        <w:rPr>
          <w:spacing w:val="53"/>
        </w:rPr>
        <w:t> </w:t>
      </w:r>
      <w:r>
        <w:rPr/>
        <w:t>que</w:t>
      </w:r>
      <w:r>
        <w:rPr>
          <w:spacing w:val="51"/>
        </w:rPr>
        <w:t> </w:t>
      </w:r>
      <w:r>
        <w:rPr/>
        <w:t>formen</w:t>
      </w:r>
      <w:r>
        <w:rPr>
          <w:spacing w:val="48"/>
        </w:rPr>
        <w:t> </w:t>
      </w:r>
      <w:r>
        <w:rPr/>
        <w:t>parte</w:t>
      </w:r>
      <w:r>
        <w:rPr>
          <w:spacing w:val="52"/>
        </w:rPr>
        <w:t> </w:t>
      </w:r>
      <w:r>
        <w:rPr/>
        <w:t>de</w:t>
      </w:r>
      <w:r>
        <w:rPr>
          <w:spacing w:val="50"/>
        </w:rPr>
        <w:t> </w:t>
      </w:r>
      <w:r>
        <w:rPr>
          <w:spacing w:val="-5"/>
        </w:rPr>
        <w:t>la</w:t>
      </w:r>
    </w:p>
    <w:p>
      <w:pPr>
        <w:pStyle w:val="BodyText"/>
        <w:ind w:left="289"/>
      </w:pPr>
      <w:r>
        <w:rPr/>
        <w:t>clasificación de extracción de petróleo</w:t>
      </w:r>
      <w:r>
        <w:rPr>
          <w:spacing w:val="22"/>
        </w:rPr>
        <w:t> </w:t>
      </w:r>
      <w:r>
        <w:rPr/>
        <w:t>y gas definida en el último censo económico realizado por el</w:t>
      </w:r>
      <w:r>
        <w:rPr>
          <w:spacing w:val="40"/>
        </w:rPr>
        <w:t> </w:t>
      </w:r>
      <w:r>
        <w:rPr/>
        <w:t>Instituto Nacional de Estadística y Geografía.</w:t>
      </w:r>
    </w:p>
    <w:p>
      <w:pPr>
        <w:spacing w:line="182" w:lineRule="exact" w:before="0"/>
        <w:ind w:left="520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“fórmula”</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31-12-2008,</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spacing w:after="0" w:line="182" w:lineRule="exact"/>
        <w:jc w:val="left"/>
        <w:rPr>
          <w:rFonts w:ascii="Times New Roman" w:hAnsi="Times New Roman"/>
          <w:i/>
          <w:sz w:val="16"/>
        </w:rPr>
        <w:sectPr>
          <w:pgSz w:w="12250" w:h="15850"/>
          <w:pgMar w:header="724" w:footer="712" w:top="1880" w:bottom="900" w:left="1417" w:right="1275"/>
        </w:sectPr>
      </w:pPr>
    </w:p>
    <w:p>
      <w:pPr>
        <w:pStyle w:val="BodyText"/>
        <w:rPr>
          <w:rFonts w:ascii="Times New Roman"/>
          <w:i/>
        </w:rPr>
      </w:pPr>
    </w:p>
    <w:p>
      <w:pPr>
        <w:pStyle w:val="BodyText"/>
        <w:spacing w:before="68"/>
        <w:rPr>
          <w:rFonts w:ascii="Times New Roman"/>
          <w:i/>
        </w:rPr>
      </w:pPr>
    </w:p>
    <w:p>
      <w:pPr>
        <w:pStyle w:val="BodyText"/>
        <w:ind w:left="1" w:right="151" w:firstLine="288"/>
        <w:jc w:val="both"/>
      </w:pPr>
      <w:r>
        <w:rPr/>
        <w:t>La Secretaría de Hacienda y Crédito Público enterará a las entidades federativas las cantidades correspondientes mensualmente, de forma provisional y, en su caso, efectuará el ajuste anual que corresponda, conforme a las disposiciones que al efecto emita.</w:t>
      </w:r>
    </w:p>
    <w:p>
      <w:pPr>
        <w:spacing w:line="180" w:lineRule="exact" w:before="0"/>
        <w:ind w:left="703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 w:right="153" w:firstLine="288"/>
        <w:jc w:val="both"/>
      </w:pPr>
      <w:r>
        <w:rPr/>
        <w:t>Los municipios recibirán cuando menos el 20% de los recursos percibidos por las entidades federativas, incluyendo las cantidades que se perciban en tal caso por concepto de compensación.</w:t>
      </w:r>
    </w:p>
    <w:p>
      <w:pPr>
        <w:spacing w:line="180" w:lineRule="exact" w:before="0"/>
        <w:ind w:left="703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9"/>
        <w:rPr>
          <w:rFonts w:ascii="Times New Roman"/>
          <w:i/>
          <w:sz w:val="16"/>
        </w:rPr>
      </w:pPr>
    </w:p>
    <w:p>
      <w:pPr>
        <w:pStyle w:val="BodyText"/>
        <w:ind w:left="1" w:right="147" w:firstLine="288"/>
        <w:jc w:val="both"/>
      </w:pPr>
      <w:r>
        <w:rPr/>
        <w:t>Las entidades adheridas al Sistema Nacional de Coordinación Fiscal que reciban ingresos por concepto del Fondo a que hace referencia el presente artículo, podrán celebrar con la Federación un convenio a fin de que los ingresos excedentes respecto a lo estimado y calendarizado en las disposiciones aplicables, se destinen en un porcentaje establecido en el citado convenio al Fondo de Estabilización de Extracción de Hidrocarburos.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 w:right="150" w:firstLine="288"/>
        <w:jc w:val="both"/>
      </w:pPr>
      <w:r>
        <w:rPr/>
        <w:t>El Fondo de Estabilización de Extracción de Hidrocarburos tendrá por finalidad compensar la disminución en la ministración de los recursos obtenidos por el Fondo de Extracción de Hidrocarburos, respecto a lo estimado y calendarizado para el ejercicio fiscal en cuestión.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 w:right="151" w:firstLine="288"/>
        <w:jc w:val="both"/>
      </w:pPr>
      <w:r>
        <w:rPr/>
        <w:t>El Fondo de Estabilización de Extracción de Hidrocarburos se sujetará a las reglas de operación que</w:t>
      </w:r>
      <w:r>
        <w:rPr>
          <w:spacing w:val="40"/>
        </w:rPr>
        <w:t> </w:t>
      </w:r>
      <w:r>
        <w:rPr/>
        <w:t>al efecto emita la Secretaría de Hacienda y Crédito Público, previa opinión de las entidades que reciban ingresos por concepto del Fondo de Extracción de Hidrocarburos.</w:t>
      </w:r>
    </w:p>
    <w:p>
      <w:pPr>
        <w:spacing w:before="0"/>
        <w:ind w:left="6967" w:right="138"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09-12-2013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5"/>
        <w:rPr>
          <w:rFonts w:ascii="Times New Roman"/>
          <w:i/>
          <w:sz w:val="16"/>
        </w:rPr>
      </w:pPr>
    </w:p>
    <w:p>
      <w:pPr>
        <w:pStyle w:val="BodyText"/>
        <w:ind w:left="1" w:right="143" w:firstLine="288"/>
        <w:jc w:val="both"/>
      </w:pPr>
      <w:bookmarkStart w:name="Artículo_5o" w:id="10"/>
      <w:bookmarkEnd w:id="10"/>
      <w:r>
        <w:rPr/>
      </w:r>
      <w:r>
        <w:rPr>
          <w:rFonts w:ascii="Arial" w:hAnsi="Arial"/>
          <w:b/>
        </w:rPr>
        <w:t>Artículo 5o.- </w:t>
      </w:r>
      <w:r>
        <w:rPr/>
        <w:t>Los cálculos de participaciones a que se refieren los artículos 2o. y 2o.-A de esta Ley</w:t>
      </w:r>
      <w:r>
        <w:rPr>
          <w:spacing w:val="-2"/>
        </w:rPr>
        <w:t> </w:t>
      </w:r>
      <w:r>
        <w:rPr/>
        <w:t>se harán para todas las entidades, aunque algunas o varias de ellas no se encuentren adheridas al Sistema Nacional de Coordinación Fiscal. Las participaciones que correspondan a las entidades que dejen de estar adheridas al Sistema Nacional de Coordinación Fiscal serán deducidas del Fondo General de Participaciones, del Fondo de Fomento Municipal y del Fondo de Fiscalización y Recaudación.</w:t>
      </w:r>
    </w:p>
    <w:p>
      <w:pPr>
        <w:spacing w:line="184" w:lineRule="exact" w:before="0"/>
        <w:ind w:left="370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31-12-1981,</w:t>
      </w:r>
      <w:r>
        <w:rPr>
          <w:rFonts w:ascii="Times New Roman" w:hAnsi="Times New Roman"/>
          <w:i/>
          <w:color w:val="0000FF"/>
          <w:spacing w:val="-9"/>
          <w:sz w:val="16"/>
        </w:rPr>
        <w:t> </w:t>
      </w:r>
      <w:r>
        <w:rPr>
          <w:rFonts w:ascii="Times New Roman" w:hAnsi="Times New Roman"/>
          <w:i/>
          <w:color w:val="0000FF"/>
          <w:sz w:val="16"/>
        </w:rPr>
        <w:t>31-12-1987,</w:t>
      </w:r>
      <w:r>
        <w:rPr>
          <w:rFonts w:ascii="Times New Roman" w:hAnsi="Times New Roman"/>
          <w:i/>
          <w:color w:val="0000FF"/>
          <w:spacing w:val="-9"/>
          <w:sz w:val="16"/>
        </w:rPr>
        <w:t> </w:t>
      </w:r>
      <w:r>
        <w:rPr>
          <w:rFonts w:ascii="Times New Roman" w:hAnsi="Times New Roman"/>
          <w:i/>
          <w:color w:val="0000FF"/>
          <w:sz w:val="16"/>
        </w:rPr>
        <w:t>28-12-1989,</w:t>
      </w:r>
      <w:r>
        <w:rPr>
          <w:rFonts w:ascii="Times New Roman" w:hAnsi="Times New Roman"/>
          <w:i/>
          <w:color w:val="0000FF"/>
          <w:spacing w:val="-9"/>
          <w:sz w:val="16"/>
        </w:rPr>
        <w:t> </w:t>
      </w:r>
      <w:r>
        <w:rPr>
          <w:rFonts w:ascii="Times New Roman" w:hAnsi="Times New Roman"/>
          <w:i/>
          <w:color w:val="0000FF"/>
          <w:sz w:val="16"/>
        </w:rPr>
        <w:t>21-12-2007,</w:t>
      </w:r>
      <w:r>
        <w:rPr>
          <w:rFonts w:ascii="Times New Roman" w:hAnsi="Times New Roman"/>
          <w:i/>
          <w:color w:val="0000FF"/>
          <w:spacing w:val="-7"/>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 w:right="146" w:firstLine="288"/>
        <w:jc w:val="both"/>
      </w:pPr>
      <w:bookmarkStart w:name="Artículo_6o" w:id="11"/>
      <w:bookmarkEnd w:id="11"/>
      <w:r>
        <w:rPr/>
      </w:r>
      <w:r>
        <w:rPr>
          <w:rFonts w:ascii="Arial" w:hAnsi="Arial"/>
          <w:b/>
        </w:rPr>
        <w:t>Artículo 6o.- </w:t>
      </w:r>
      <w:r>
        <w:rPr/>
        <w:t>Las participaciones federales que</w:t>
      </w:r>
      <w:r>
        <w:rPr>
          <w:spacing w:val="-1"/>
        </w:rPr>
        <w:t> </w:t>
      </w:r>
      <w:r>
        <w:rPr/>
        <w:t>recibirán</w:t>
      </w:r>
      <w:r>
        <w:rPr>
          <w:spacing w:val="-2"/>
        </w:rPr>
        <w:t> </w:t>
      </w:r>
      <w:r>
        <w:rPr/>
        <w:t>los Municipios del</w:t>
      </w:r>
      <w:r>
        <w:rPr>
          <w:spacing w:val="-2"/>
        </w:rPr>
        <w:t> </w:t>
      </w:r>
      <w:r>
        <w:rPr/>
        <w:t>total del</w:t>
      </w:r>
      <w:r>
        <w:rPr>
          <w:spacing w:val="-2"/>
        </w:rPr>
        <w:t> </w:t>
      </w:r>
      <w:r>
        <w:rPr/>
        <w:t>Fondo</w:t>
      </w:r>
      <w:r>
        <w:rPr>
          <w:spacing w:val="-1"/>
        </w:rPr>
        <w:t> </w:t>
      </w:r>
      <w:r>
        <w:rPr/>
        <w:t>General de Participaciones incluyendo sus incrementos, nunca serán inferiores al 20% de las cantidades que correspondan</w:t>
      </w:r>
      <w:r>
        <w:rPr>
          <w:spacing w:val="-2"/>
        </w:rPr>
        <w:t> </w:t>
      </w:r>
      <w:r>
        <w:rPr/>
        <w:t>al</w:t>
      </w:r>
      <w:r>
        <w:rPr>
          <w:spacing w:val="-3"/>
        </w:rPr>
        <w:t> </w:t>
      </w:r>
      <w:r>
        <w:rPr/>
        <w:t>Estado,</w:t>
      </w:r>
      <w:r>
        <w:rPr>
          <w:spacing w:val="-2"/>
        </w:rPr>
        <w:t> </w:t>
      </w:r>
      <w:r>
        <w:rPr/>
        <w:t>el</w:t>
      </w:r>
      <w:r>
        <w:rPr>
          <w:spacing w:val="-3"/>
        </w:rPr>
        <w:t> </w:t>
      </w:r>
      <w:r>
        <w:rPr/>
        <w:t>cual</w:t>
      </w:r>
      <w:r>
        <w:rPr>
          <w:spacing w:val="-3"/>
        </w:rPr>
        <w:t> </w:t>
      </w:r>
      <w:r>
        <w:rPr/>
        <w:t>habrá</w:t>
      </w:r>
      <w:r>
        <w:rPr>
          <w:spacing w:val="-4"/>
        </w:rPr>
        <w:t> </w:t>
      </w:r>
      <w:r>
        <w:rPr/>
        <w:t>de</w:t>
      </w:r>
      <w:r>
        <w:rPr>
          <w:spacing w:val="-4"/>
        </w:rPr>
        <w:t> </w:t>
      </w:r>
      <w:r>
        <w:rPr/>
        <w:t>cubrírselas. Las</w:t>
      </w:r>
      <w:r>
        <w:rPr>
          <w:spacing w:val="-3"/>
        </w:rPr>
        <w:t> </w:t>
      </w:r>
      <w:r>
        <w:rPr/>
        <w:t>legislaturas</w:t>
      </w:r>
      <w:r>
        <w:rPr>
          <w:spacing w:val="-2"/>
        </w:rPr>
        <w:t> </w:t>
      </w:r>
      <w:r>
        <w:rPr/>
        <w:t>locales</w:t>
      </w:r>
      <w:r>
        <w:rPr>
          <w:spacing w:val="-3"/>
        </w:rPr>
        <w:t> </w:t>
      </w:r>
      <w:r>
        <w:rPr/>
        <w:t>establecerán</w:t>
      </w:r>
      <w:r>
        <w:rPr>
          <w:spacing w:val="-2"/>
        </w:rPr>
        <w:t> </w:t>
      </w:r>
      <w:r>
        <w:rPr/>
        <w:t>su</w:t>
      </w:r>
      <w:r>
        <w:rPr>
          <w:spacing w:val="-4"/>
        </w:rPr>
        <w:t> </w:t>
      </w:r>
      <w:r>
        <w:rPr/>
        <w:t>distribución entre los Municipios mediante disposiciones de carácter general, atendiendo principalmente a los incentivos recaudatorios y principios resarcitorios, en la parte municipal, considerados en el artículo 2o. del presente ordenamiento.</w:t>
      </w:r>
    </w:p>
    <w:p>
      <w:pPr>
        <w:spacing w:line="183" w:lineRule="exact" w:before="0"/>
        <w:ind w:left="620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28-12-1989,</w:t>
      </w:r>
      <w:r>
        <w:rPr>
          <w:rFonts w:ascii="Times New Roman" w:hAnsi="Times New Roman"/>
          <w:i/>
          <w:color w:val="0000FF"/>
          <w:spacing w:val="-9"/>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 w:right="148" w:firstLine="288"/>
        <w:jc w:val="both"/>
      </w:pPr>
      <w:r>
        <w:rPr/>
        <w:t>La Federación entregará las participaciones a los municipios por conducto de los Estados; dentro de los cinco días siguientes a aquel en que el Estado las reciba; el retraso dará lugar al pago de intereses, a la tasa de recargos que establece el Congreso de la Unión para los casos de pago a plazos de contribuciones; en caso de incumplimiento la Federación hará la entrega directa a los Municipios descontando la participación del monto que corresponda al Estado, previa opinión de la Comisión Permanente de Funcionarios Fiscales.</w:t>
      </w:r>
    </w:p>
    <w:p>
      <w:pPr>
        <w:spacing w:line="181" w:lineRule="exact" w:before="0"/>
        <w:ind w:left="620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31-12-1982,</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7"/>
        <w:rPr>
          <w:rFonts w:ascii="Times New Roman"/>
          <w:i/>
          <w:sz w:val="16"/>
        </w:rPr>
      </w:pPr>
    </w:p>
    <w:p>
      <w:pPr>
        <w:pStyle w:val="BodyText"/>
        <w:ind w:left="1" w:right="141" w:firstLine="288"/>
        <w:jc w:val="both"/>
      </w:pPr>
      <w:r>
        <w:rPr/>
        <w:t>Los municipios y, tratándose del Distrito Federal, sus demarcaciones territoriales, recibirán como mínimo el 20% de la recaudación que corresponda al Estado en los términos del último párrafo del</w:t>
      </w:r>
      <w:r>
        <w:rPr>
          <w:spacing w:val="40"/>
        </w:rPr>
        <w:t> </w:t>
      </w:r>
      <w:r>
        <w:rPr/>
        <w:t>artículo 2o. de esta Ley.</w:t>
      </w:r>
    </w:p>
    <w:p>
      <w:pPr>
        <w:spacing w:line="183" w:lineRule="exact" w:before="0"/>
        <w:ind w:left="256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31-12-1982.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28-12-1989,</w:t>
      </w:r>
      <w:r>
        <w:rPr>
          <w:rFonts w:ascii="Times New Roman" w:hAnsi="Times New Roman"/>
          <w:i/>
          <w:color w:val="0000FF"/>
          <w:spacing w:val="-9"/>
          <w:sz w:val="16"/>
        </w:rPr>
        <w:t> </w:t>
      </w:r>
      <w:r>
        <w:rPr>
          <w:rFonts w:ascii="Times New Roman" w:hAnsi="Times New Roman"/>
          <w:i/>
          <w:color w:val="0000FF"/>
          <w:sz w:val="16"/>
        </w:rPr>
        <w:t>20-12-1991,</w:t>
      </w:r>
      <w:r>
        <w:rPr>
          <w:rFonts w:ascii="Times New Roman" w:hAnsi="Times New Roman"/>
          <w:i/>
          <w:color w:val="0000FF"/>
          <w:spacing w:val="-9"/>
          <w:sz w:val="16"/>
        </w:rPr>
        <w:t> </w:t>
      </w:r>
      <w:r>
        <w:rPr>
          <w:rFonts w:ascii="Times New Roman" w:hAnsi="Times New Roman"/>
          <w:i/>
          <w:color w:val="0000FF"/>
          <w:sz w:val="16"/>
        </w:rPr>
        <w:t>30-12-1996,</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2007</w:t>
      </w:r>
    </w:p>
    <w:p>
      <w:pPr>
        <w:spacing w:after="0" w:line="183" w:lineRule="exact"/>
        <w:jc w:val="left"/>
        <w:rPr>
          <w:rFonts w:ascii="Times New Roman" w:hAnsi="Times New Roman"/>
          <w:i/>
          <w:sz w:val="16"/>
        </w:rPr>
        <w:sectPr>
          <w:pgSz w:w="12250" w:h="15850"/>
          <w:pgMar w:header="724" w:footer="712" w:top="1880" w:bottom="900" w:left="1417" w:right="1275"/>
        </w:sectPr>
      </w:pPr>
    </w:p>
    <w:p>
      <w:pPr>
        <w:pStyle w:val="BodyText"/>
        <w:rPr>
          <w:rFonts w:ascii="Times New Roman"/>
          <w:i/>
        </w:rPr>
      </w:pPr>
    </w:p>
    <w:p>
      <w:pPr>
        <w:pStyle w:val="BodyText"/>
        <w:spacing w:before="68"/>
        <w:rPr>
          <w:rFonts w:ascii="Times New Roman"/>
          <w:i/>
        </w:rPr>
      </w:pPr>
    </w:p>
    <w:p>
      <w:pPr>
        <w:pStyle w:val="BodyText"/>
        <w:ind w:left="1" w:right="138" w:firstLine="288"/>
        <w:jc w:val="both"/>
      </w:pPr>
      <w:r>
        <w:rPr/>
        <w:t>Las participaciones serán cubiertas en efectivo, no en obra, sin condicionamiento alguno y no podrán ser objeto</w:t>
      </w:r>
      <w:r>
        <w:rPr>
          <w:spacing w:val="-1"/>
        </w:rPr>
        <w:t> </w:t>
      </w:r>
      <w:r>
        <w:rPr/>
        <w:t>de</w:t>
      </w:r>
      <w:r>
        <w:rPr>
          <w:spacing w:val="-1"/>
        </w:rPr>
        <w:t> </w:t>
      </w:r>
      <w:r>
        <w:rPr/>
        <w:t>deducciones, sin</w:t>
      </w:r>
      <w:r>
        <w:rPr>
          <w:spacing w:val="-1"/>
        </w:rPr>
        <w:t> </w:t>
      </w:r>
      <w:r>
        <w:rPr/>
        <w:t>perjuicio de lo</w:t>
      </w:r>
      <w:r>
        <w:rPr>
          <w:spacing w:val="-1"/>
        </w:rPr>
        <w:t> </w:t>
      </w:r>
      <w:r>
        <w:rPr/>
        <w:t>dispuesto</w:t>
      </w:r>
      <w:r>
        <w:rPr>
          <w:spacing w:val="-1"/>
        </w:rPr>
        <w:t> </w:t>
      </w:r>
      <w:r>
        <w:rPr/>
        <w:t>en el artículo</w:t>
      </w:r>
      <w:r>
        <w:rPr>
          <w:spacing w:val="-1"/>
        </w:rPr>
        <w:t> </w:t>
      </w:r>
      <w:r>
        <w:rPr/>
        <w:t>9 de</w:t>
      </w:r>
      <w:r>
        <w:rPr>
          <w:spacing w:val="-2"/>
        </w:rPr>
        <w:t> </w:t>
      </w:r>
      <w:r>
        <w:rPr/>
        <w:t>esta</w:t>
      </w:r>
      <w:r>
        <w:rPr>
          <w:spacing w:val="-1"/>
        </w:rPr>
        <w:t> </w:t>
      </w:r>
      <w:r>
        <w:rPr/>
        <w:t>Ley. Los Gobiernos de las entidades, a más tardar el 15 de febrero, deberán 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w:t>
      </w:r>
      <w:r>
        <w:rPr>
          <w:spacing w:val="-2"/>
        </w:rPr>
        <w:t> </w:t>
      </w:r>
      <w:r>
        <w:rPr/>
        <w:t>con</w:t>
      </w:r>
      <w:r>
        <w:rPr>
          <w:spacing w:val="-2"/>
        </w:rPr>
        <w:t> </w:t>
      </w:r>
      <w:r>
        <w:rPr/>
        <w:t>esta</w:t>
      </w:r>
      <w:r>
        <w:rPr>
          <w:spacing w:val="-1"/>
        </w:rPr>
        <w:t> </w:t>
      </w:r>
      <w:r>
        <w:rPr/>
        <w:t>disposición.</w:t>
      </w:r>
      <w:r>
        <w:rPr>
          <w:spacing w:val="-1"/>
        </w:rPr>
        <w:t> </w:t>
      </w:r>
      <w:r>
        <w:rPr/>
        <w:t>Las publicaciones anteriores se</w:t>
      </w:r>
      <w:r>
        <w:rPr>
          <w:spacing w:val="-1"/>
        </w:rPr>
        <w:t> </w:t>
      </w:r>
      <w:r>
        <w:rPr/>
        <w:t>deberán</w:t>
      </w:r>
      <w:r>
        <w:rPr>
          <w:spacing w:val="-1"/>
        </w:rPr>
        <w:t> </w:t>
      </w:r>
      <w:r>
        <w:rPr/>
        <w:t>realizar conforme a los lineamientos que al efecto emita la Secretaría de Hacienda y Crédito Público.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30-12-1983.</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31-12-2000,</w:t>
      </w:r>
      <w:r>
        <w:rPr>
          <w:rFonts w:ascii="Times New Roman" w:hAnsi="Times New Roman"/>
          <w:i/>
          <w:color w:val="0000FF"/>
          <w:spacing w:val="-9"/>
          <w:sz w:val="16"/>
        </w:rPr>
        <w:t> </w:t>
      </w:r>
      <w:r>
        <w:rPr>
          <w:rFonts w:ascii="Times New Roman" w:hAnsi="Times New Roman"/>
          <w:i/>
          <w:color w:val="0000FF"/>
          <w:sz w:val="16"/>
        </w:rPr>
        <w:t>14-07-2003,</w:t>
      </w:r>
      <w:r>
        <w:rPr>
          <w:rFonts w:ascii="Times New Roman" w:hAnsi="Times New Roman"/>
          <w:i/>
          <w:color w:val="0000FF"/>
          <w:spacing w:val="-9"/>
          <w:sz w:val="16"/>
        </w:rPr>
        <w:t> </w:t>
      </w:r>
      <w:r>
        <w:rPr>
          <w:rFonts w:ascii="Times New Roman" w:hAnsi="Times New Roman"/>
          <w:i/>
          <w:color w:val="0000FF"/>
          <w:sz w:val="16"/>
        </w:rPr>
        <w:t>21-12-2007,</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 w:right="150" w:firstLine="288"/>
        <w:jc w:val="both"/>
      </w:pPr>
      <w:r>
        <w:rPr/>
        <w:t>El incumplimiento a las obligaciones de información previstas en este artículo será sancionado en los términos de la legislación en materia de responsabilidades administrativas de los servidores públicos.</w:t>
      </w:r>
    </w:p>
    <w:p>
      <w:pPr>
        <w:spacing w:before="0"/>
        <w:ind w:left="7013" w:right="138"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09-12-2013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1981</w:t>
      </w:r>
    </w:p>
    <w:p>
      <w:pPr>
        <w:pStyle w:val="BodyText"/>
        <w:spacing w:before="44"/>
        <w:rPr>
          <w:rFonts w:ascii="Times New Roman"/>
          <w:i/>
          <w:sz w:val="16"/>
        </w:rPr>
      </w:pPr>
    </w:p>
    <w:p>
      <w:pPr>
        <w:pStyle w:val="BodyText"/>
        <w:spacing w:line="242" w:lineRule="auto"/>
        <w:ind w:left="1" w:right="146" w:firstLine="288"/>
        <w:jc w:val="both"/>
      </w:pPr>
      <w:bookmarkStart w:name="Artículo_7o" w:id="12"/>
      <w:bookmarkEnd w:id="12"/>
      <w:r>
        <w:rPr/>
      </w:r>
      <w:r>
        <w:rPr>
          <w:rFonts w:ascii="Arial" w:hAnsi="Arial"/>
          <w:b/>
        </w:rPr>
        <w:t>Artículo 7o.- </w:t>
      </w:r>
      <w:r>
        <w:rPr/>
        <w:t>El Fondo General de Participaciones se determinará por cada ejercicio fiscal de la Federación, la cual en forma provisional hará un cálculo mensual considerando la recaudación federal participable obtenida en el mes inmediato anterior. En igual forma se procederá con las participaciones a que se refieren los artículos 2o.-A, fracciones I y III, y 3o.-A de esta Ley.</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28-12-1989,</w:t>
      </w:r>
      <w:r>
        <w:rPr>
          <w:rFonts w:ascii="Times New Roman" w:hAnsi="Times New Roman"/>
          <w:i/>
          <w:color w:val="0000FF"/>
          <w:spacing w:val="-9"/>
          <w:sz w:val="16"/>
        </w:rPr>
        <w:t> </w:t>
      </w:r>
      <w:r>
        <w:rPr>
          <w:rFonts w:ascii="Times New Roman" w:hAnsi="Times New Roman"/>
          <w:i/>
          <w:color w:val="0000FF"/>
          <w:sz w:val="16"/>
        </w:rPr>
        <w:t>29-12-1993,</w:t>
      </w:r>
      <w:r>
        <w:rPr>
          <w:rFonts w:ascii="Times New Roman" w:hAnsi="Times New Roman"/>
          <w:i/>
          <w:color w:val="0000FF"/>
          <w:spacing w:val="-9"/>
          <w:sz w:val="16"/>
        </w:rPr>
        <w:t> </w:t>
      </w:r>
      <w:r>
        <w:rPr>
          <w:rFonts w:ascii="Times New Roman" w:hAnsi="Times New Roman"/>
          <w:i/>
          <w:color w:val="0000FF"/>
          <w:sz w:val="16"/>
        </w:rPr>
        <w:t>15-12-</w:t>
      </w:r>
      <w:r>
        <w:rPr>
          <w:rFonts w:ascii="Times New Roman" w:hAnsi="Times New Roman"/>
          <w:i/>
          <w:color w:val="0000FF"/>
          <w:spacing w:val="-4"/>
          <w:sz w:val="16"/>
        </w:rPr>
        <w:t>1995</w:t>
      </w:r>
    </w:p>
    <w:p>
      <w:pPr>
        <w:pStyle w:val="BodyText"/>
        <w:spacing w:before="50"/>
        <w:rPr>
          <w:rFonts w:ascii="Times New Roman"/>
          <w:i/>
          <w:sz w:val="16"/>
        </w:rPr>
      </w:pPr>
    </w:p>
    <w:p>
      <w:pPr>
        <w:pStyle w:val="BodyText"/>
        <w:ind w:left="1" w:right="152" w:firstLine="288"/>
        <w:jc w:val="both"/>
      </w:pPr>
      <w:r>
        <w:rPr/>
        <w:t>Las Entidades dentro del mismo mes en que se realice el cálculo mencionado en el párrafo que antecede,</w:t>
      </w:r>
      <w:r>
        <w:rPr>
          <w:spacing w:val="-2"/>
        </w:rPr>
        <w:t> </w:t>
      </w:r>
      <w:r>
        <w:rPr/>
        <w:t>recibirán</w:t>
      </w:r>
      <w:r>
        <w:rPr>
          <w:spacing w:val="-2"/>
        </w:rPr>
        <w:t> </w:t>
      </w:r>
      <w:r>
        <w:rPr/>
        <w:t>las</w:t>
      </w:r>
      <w:r>
        <w:rPr>
          <w:spacing w:val="-1"/>
        </w:rPr>
        <w:t> </w:t>
      </w:r>
      <w:r>
        <w:rPr/>
        <w:t>cantidades</w:t>
      </w:r>
      <w:r>
        <w:rPr>
          <w:spacing w:val="-1"/>
        </w:rPr>
        <w:t> </w:t>
      </w:r>
      <w:r>
        <w:rPr/>
        <w:t>que</w:t>
      </w:r>
      <w:r>
        <w:rPr>
          <w:spacing w:val="-2"/>
        </w:rPr>
        <w:t> </w:t>
      </w:r>
      <w:r>
        <w:rPr/>
        <w:t>les</w:t>
      </w:r>
      <w:r>
        <w:rPr>
          <w:spacing w:val="-1"/>
        </w:rPr>
        <w:t> </w:t>
      </w:r>
      <w:r>
        <w:rPr/>
        <w:t>correspondan</w:t>
      </w:r>
      <w:r>
        <w:rPr>
          <w:spacing w:val="-3"/>
        </w:rPr>
        <w:t> </w:t>
      </w:r>
      <w:r>
        <w:rPr/>
        <w:t>conforme</w:t>
      </w:r>
      <w:r>
        <w:rPr>
          <w:spacing w:val="-2"/>
        </w:rPr>
        <w:t> </w:t>
      </w:r>
      <w:r>
        <w:rPr/>
        <w:t>a</w:t>
      </w:r>
      <w:r>
        <w:rPr>
          <w:spacing w:val="-2"/>
        </w:rPr>
        <w:t> </w:t>
      </w:r>
      <w:r>
        <w:rPr/>
        <w:t>esta</w:t>
      </w:r>
      <w:r>
        <w:rPr>
          <w:spacing w:val="-2"/>
        </w:rPr>
        <w:t> </w:t>
      </w:r>
      <w:r>
        <w:rPr/>
        <w:t>Ley,</w:t>
      </w:r>
      <w:r>
        <w:rPr>
          <w:spacing w:val="-2"/>
        </w:rPr>
        <w:t> </w:t>
      </w:r>
      <w:r>
        <w:rPr/>
        <w:t>en concepto de anticipos a cuenta de participaciones.</w:t>
      </w:r>
    </w:p>
    <w:p>
      <w:pPr>
        <w:pStyle w:val="BodyText"/>
      </w:pPr>
    </w:p>
    <w:p>
      <w:pPr>
        <w:pStyle w:val="BodyText"/>
        <w:ind w:left="1" w:right="151" w:firstLine="288"/>
        <w:jc w:val="both"/>
      </w:pPr>
      <w:r>
        <w:rPr/>
        <w:t>Cada cuatro meses la Federación realizará un ajuste de las participaciones, efectuando el cálculo sobre la recaudación obtenida en ese período. Las diferencias resultantes serán liquidadas dentro de los dos meses siguientes.</w:t>
      </w:r>
    </w:p>
    <w:p>
      <w:pPr>
        <w:pStyle w:val="BodyText"/>
        <w:spacing w:before="229"/>
        <w:ind w:left="1" w:right="142" w:firstLine="288"/>
        <w:jc w:val="both"/>
      </w:pPr>
      <w:r>
        <w:rPr/>
        <w:t>A más tardar dentro de los 30 días posteriores a que el Ejecutivo Federal presente la Cuenta Pública del año anterior a la Cámara de Diputados del H. Congreso de la Unión para su revisión, la Federación determinará las participaciones que correspondan a la recaudación obtenida en el ejercicio, aplicará las cantidades que hubiera afectado provisionalmente a los Fondos y formulará de inmediato las</w:t>
      </w:r>
      <w:r>
        <w:rPr>
          <w:spacing w:val="40"/>
        </w:rPr>
        <w:t> </w:t>
      </w:r>
      <w:r>
        <w:rPr/>
        <w:t>liquidaciones que procedan.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1999</w:t>
      </w:r>
    </w:p>
    <w:p>
      <w:pPr>
        <w:pStyle w:val="BodyText"/>
        <w:spacing w:before="50"/>
        <w:rPr>
          <w:rFonts w:ascii="Times New Roman"/>
          <w:i/>
          <w:sz w:val="16"/>
        </w:rPr>
      </w:pPr>
    </w:p>
    <w:p>
      <w:pPr>
        <w:pStyle w:val="BodyText"/>
        <w:ind w:left="1" w:right="138" w:firstLine="288"/>
        <w:jc w:val="both"/>
      </w:pPr>
      <w:r>
        <w:rPr/>
        <w:t>Durante los primeros cinco meses de cada ejercicio, las participaciones en el Fondo General de Participaciones a que se refiere la fórmula del artículo 2o., así como las que se establecen en los</w:t>
      </w:r>
      <w:r>
        <w:rPr>
          <w:spacing w:val="80"/>
        </w:rPr>
        <w:t> </w:t>
      </w:r>
      <w:r>
        <w:rPr/>
        <w:t>artículos 2o.-A, fracciones I y III y 3o.-A de esta Ley, se calcularán provisionalmente con los coeficientes del ejercicio inmediato anterior, en tanto se cuente con la información necesaria para calcular los nuevos </w:t>
      </w:r>
      <w:r>
        <w:rPr>
          <w:spacing w:val="-2"/>
        </w:rPr>
        <w:t>coeficientes.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28-12-1989.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26-12-1990,</w:t>
      </w:r>
      <w:r>
        <w:rPr>
          <w:rFonts w:ascii="Times New Roman" w:hAnsi="Times New Roman"/>
          <w:i/>
          <w:color w:val="0000FF"/>
          <w:spacing w:val="-9"/>
          <w:sz w:val="16"/>
        </w:rPr>
        <w:t> </w:t>
      </w:r>
      <w:r>
        <w:rPr>
          <w:rFonts w:ascii="Times New Roman" w:hAnsi="Times New Roman"/>
          <w:i/>
          <w:color w:val="0000FF"/>
          <w:sz w:val="16"/>
        </w:rPr>
        <w:t>29-12-1993,</w:t>
      </w:r>
      <w:r>
        <w:rPr>
          <w:rFonts w:ascii="Times New Roman" w:hAnsi="Times New Roman"/>
          <w:i/>
          <w:color w:val="0000FF"/>
          <w:spacing w:val="-9"/>
          <w:sz w:val="16"/>
        </w:rPr>
        <w:t> </w:t>
      </w:r>
      <w:r>
        <w:rPr>
          <w:rFonts w:ascii="Times New Roman" w:hAnsi="Times New Roman"/>
          <w:i/>
          <w:color w:val="0000FF"/>
          <w:sz w:val="16"/>
        </w:rPr>
        <w:t>15-12-1995,</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2007</w:t>
      </w:r>
    </w:p>
    <w:p>
      <w:pPr>
        <w:spacing w:line="183" w:lineRule="exact" w:before="1"/>
        <w:ind w:left="0" w:right="137"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12-02-1979.</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30-12-1983.</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28-03-1984.</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2"/>
          <w:sz w:val="16"/>
        </w:rPr>
        <w:t>1986,</w:t>
      </w:r>
    </w:p>
    <w:p>
      <w:pPr>
        <w:spacing w:line="183" w:lineRule="exact" w:before="0"/>
        <w:ind w:left="0" w:right="138" w:firstLine="0"/>
        <w:jc w:val="right"/>
        <w:rPr>
          <w:rFonts w:ascii="Times New Roman"/>
          <w:i/>
          <w:sz w:val="16"/>
        </w:rPr>
      </w:pPr>
      <w:r>
        <w:rPr>
          <w:rFonts w:ascii="Times New Roman"/>
          <w:i/>
          <w:color w:val="0000FF"/>
          <w:spacing w:val="-2"/>
          <w:sz w:val="16"/>
        </w:rPr>
        <w:t>31-12-</w:t>
      </w:r>
      <w:r>
        <w:rPr>
          <w:rFonts w:ascii="Times New Roman"/>
          <w:i/>
          <w:color w:val="0000FF"/>
          <w:spacing w:val="-4"/>
          <w:sz w:val="16"/>
        </w:rPr>
        <w:t>1987</w:t>
      </w:r>
    </w:p>
    <w:p>
      <w:pPr>
        <w:pStyle w:val="BodyText"/>
        <w:spacing w:before="47"/>
        <w:rPr>
          <w:rFonts w:ascii="Times New Roman"/>
          <w:i/>
          <w:sz w:val="16"/>
        </w:rPr>
      </w:pPr>
    </w:p>
    <w:p>
      <w:pPr>
        <w:pStyle w:val="BodyText"/>
        <w:ind w:left="1" w:right="142" w:firstLine="288"/>
        <w:jc w:val="both"/>
      </w:pPr>
      <w:bookmarkStart w:name="Artículo_8o" w:id="13"/>
      <w:bookmarkEnd w:id="13"/>
      <w:r>
        <w:rPr/>
      </w:r>
      <w:r>
        <w:rPr>
          <w:rFonts w:ascii="Arial" w:hAnsi="Arial"/>
          <w:b/>
        </w:rPr>
        <w:t>Artículo 8o.- </w:t>
      </w:r>
      <w:r>
        <w:rPr/>
        <w:t>Para los efectos de las participaciones a que esta Ley se refiere y de los incentivos que se establezcan en los convenios de colaboración administrativa, las Entidades, los Municipios y la Federación estarán al resultado de la determinación y pago, que hubieren efectuado de créditos fiscales derivados de la aplicación de leyes sobre ingresos federales.</w:t>
      </w:r>
    </w:p>
    <w:p>
      <w:pPr>
        <w:spacing w:line="183" w:lineRule="exact" w:before="0"/>
        <w:ind w:left="620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31-12-1981,</w:t>
      </w:r>
      <w:r>
        <w:rPr>
          <w:rFonts w:ascii="Times New Roman" w:hAnsi="Times New Roman"/>
          <w:i/>
          <w:color w:val="0000FF"/>
          <w:spacing w:val="-8"/>
          <w:sz w:val="16"/>
        </w:rPr>
        <w:t> </w:t>
      </w:r>
      <w:r>
        <w:rPr>
          <w:rFonts w:ascii="Times New Roman" w:hAnsi="Times New Roman"/>
          <w:i/>
          <w:color w:val="0000FF"/>
          <w:sz w:val="16"/>
        </w:rPr>
        <w:t>15-12-</w:t>
      </w:r>
      <w:r>
        <w:rPr>
          <w:rFonts w:ascii="Times New Roman" w:hAnsi="Times New Roman"/>
          <w:i/>
          <w:color w:val="0000FF"/>
          <w:spacing w:val="-4"/>
          <w:sz w:val="16"/>
        </w:rPr>
        <w:t>1995</w:t>
      </w:r>
    </w:p>
    <w:p>
      <w:pPr>
        <w:spacing w:after="0" w:line="183" w:lineRule="exact"/>
        <w:jc w:val="left"/>
        <w:rPr>
          <w:rFonts w:ascii="Times New Roman" w:hAnsi="Times New Roman"/>
          <w:i/>
          <w:sz w:val="16"/>
        </w:rPr>
        <w:sectPr>
          <w:pgSz w:w="12250" w:h="15850"/>
          <w:pgMar w:header="724" w:footer="712" w:top="1880" w:bottom="900" w:left="1417" w:right="1275"/>
        </w:sectPr>
      </w:pPr>
    </w:p>
    <w:p>
      <w:pPr>
        <w:pStyle w:val="BodyText"/>
        <w:spacing w:before="67"/>
        <w:rPr>
          <w:rFonts w:ascii="Times New Roman"/>
          <w:i/>
        </w:rPr>
      </w:pPr>
    </w:p>
    <w:p>
      <w:pPr>
        <w:pStyle w:val="BodyText"/>
        <w:ind w:left="1" w:right="148" w:firstLine="288"/>
        <w:jc w:val="both"/>
      </w:pPr>
      <w:r>
        <w:rPr/>
        <w:t>La Federación por conducto de la Secretaría de Hacienda y Crédito Público informará bajo los lineamientos que se establezcan, del comportamiento de las participaciones a las partes beneficiadas.</w:t>
      </w:r>
    </w:p>
    <w:p>
      <w:pPr>
        <w:spacing w:line="240" w:lineRule="auto" w:before="0"/>
        <w:ind w:left="4478" w:right="0" w:firstLine="2508"/>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31-12-1981</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26-12-1990:</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4"/>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4"/>
        <w:rPr>
          <w:rFonts w:ascii="Times New Roman"/>
          <w:i/>
          <w:sz w:val="16"/>
        </w:rPr>
      </w:pPr>
    </w:p>
    <w:p>
      <w:pPr>
        <w:pStyle w:val="BodyText"/>
        <w:spacing w:before="1"/>
        <w:ind w:left="1" w:right="145" w:firstLine="288"/>
        <w:jc w:val="both"/>
      </w:pPr>
      <w:bookmarkStart w:name="Artículo_9o" w:id="14"/>
      <w:bookmarkEnd w:id="14"/>
      <w:r>
        <w:rPr/>
      </w:r>
      <w:r>
        <w:rPr>
          <w:rFonts w:ascii="Arial" w:hAnsi="Arial"/>
          <w:b/>
        </w:rPr>
        <w:t>Artículo 9o.- </w:t>
      </w:r>
      <w:r>
        <w:rPr/>
        <w:t>Las participaciones que correspondan a las Entidades y los Municipios son inembargables; no pueden afectarse a fines específicos, ni estar sujetas a retención, salvo aquéllas correspondientes al</w:t>
      </w:r>
      <w:r>
        <w:rPr>
          <w:spacing w:val="-2"/>
        </w:rPr>
        <w:t> </w:t>
      </w:r>
      <w:r>
        <w:rPr/>
        <w:t>Fondo General de Participaciones,</w:t>
      </w:r>
      <w:r>
        <w:rPr>
          <w:spacing w:val="-1"/>
        </w:rPr>
        <w:t> </w:t>
      </w:r>
      <w:r>
        <w:rPr/>
        <w:t>al Fondo de Fomento</w:t>
      </w:r>
      <w:r>
        <w:rPr>
          <w:spacing w:val="-1"/>
        </w:rPr>
        <w:t> </w:t>
      </w:r>
      <w:r>
        <w:rPr/>
        <w:t>Municipal y</w:t>
      </w:r>
      <w:r>
        <w:rPr>
          <w:spacing w:val="-2"/>
        </w:rPr>
        <w:t> </w:t>
      </w:r>
      <w:r>
        <w:rPr/>
        <w:t>a los recursos a los que se refiere el artículo 4-A, fracción I, de la presente Ley, que podrán ser afectadas en garantía, como fuente de pago de obligaciones contraídas por las Entidades o los Municipios, o afectadas en ambas modalidades, con autorización de las legislaturas locales e inscritas en el Registro Público Único, de conformidad con el Capítulo VI del Título Tercero de la Ley de Disciplina Financiera de las Entidades Federativas y los Municipios, a favor de la Federación, de las instituciones de Crédito que operen en territorio nacional, así como de las personas físicas o morales de nacionalidad mexicana.</w:t>
      </w:r>
    </w:p>
    <w:p>
      <w:pPr>
        <w:pStyle w:val="BodyText"/>
        <w:spacing w:before="2"/>
      </w:pPr>
    </w:p>
    <w:p>
      <w:pPr>
        <w:pStyle w:val="BodyText"/>
        <w:ind w:left="1" w:right="148" w:firstLine="288"/>
        <w:jc w:val="both"/>
      </w:pPr>
      <w:r>
        <w:rPr/>
        <w:t>Los Municipios podrán convenir que la Entidad correspondiente afecte sus participaciones o aportaciones susceptibles de afectación, para efectos de lo establecido en el párrafo anterior de este </w:t>
      </w:r>
      <w:r>
        <w:rPr>
          <w:spacing w:val="-2"/>
        </w:rPr>
        <w:t>artículo.</w:t>
      </w:r>
    </w:p>
    <w:p>
      <w:pPr>
        <w:pStyle w:val="BodyText"/>
        <w:spacing w:before="229"/>
        <w:ind w:left="1" w:right="144" w:firstLine="288"/>
        <w:jc w:val="both"/>
      </w:pPr>
      <w:r>
        <w:rPr/>
        <w:t>No estarán sujetas a lo dispuesto en el primer párrafo de este artículo, las compensaciones que se requieran efectuar a las Entidades como consecuencia de ajustes en participaciones o de descuentos originados del incumplimiento de metas pactadas con la Federación en materia de administración de contribuciones. Asimismo, procederán las compensaciones entre las participaciones federales e incentivos de las Entidades y de los Municipios y las obligaciones que tengan con la Federación, cuando exista acuerdo entre las partes interesadas o esta Ley así lo autorice.</w:t>
      </w:r>
    </w:p>
    <w:p>
      <w:pPr>
        <w:spacing w:line="182" w:lineRule="exact" w:before="0"/>
        <w:ind w:left="0" w:right="137"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12-02-1979.</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31-12-1981.</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15-04-1982.</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2"/>
          <w:sz w:val="16"/>
        </w:rPr>
        <w:t>1983,</w:t>
      </w:r>
    </w:p>
    <w:p>
      <w:pPr>
        <w:spacing w:before="1"/>
        <w:ind w:left="0" w:right="138" w:firstLine="0"/>
        <w:jc w:val="right"/>
        <w:rPr>
          <w:rFonts w:ascii="Times New Roman"/>
          <w:i/>
          <w:sz w:val="16"/>
        </w:rPr>
      </w:pPr>
      <w:r>
        <w:rPr>
          <w:rFonts w:ascii="Times New Roman"/>
          <w:i/>
          <w:color w:val="0000FF"/>
          <w:spacing w:val="-2"/>
          <w:sz w:val="16"/>
        </w:rPr>
        <w:t>28-12-1989,</w:t>
      </w:r>
      <w:r>
        <w:rPr>
          <w:rFonts w:ascii="Times New Roman"/>
          <w:i/>
          <w:color w:val="0000FF"/>
          <w:spacing w:val="13"/>
          <w:sz w:val="16"/>
        </w:rPr>
        <w:t> </w:t>
      </w:r>
      <w:r>
        <w:rPr>
          <w:rFonts w:ascii="Times New Roman"/>
          <w:i/>
          <w:color w:val="0000FF"/>
          <w:spacing w:val="-2"/>
          <w:sz w:val="16"/>
        </w:rPr>
        <w:t>26-12-1990,</w:t>
      </w:r>
      <w:r>
        <w:rPr>
          <w:rFonts w:ascii="Times New Roman"/>
          <w:i/>
          <w:color w:val="0000FF"/>
          <w:spacing w:val="14"/>
          <w:sz w:val="16"/>
        </w:rPr>
        <w:t> </w:t>
      </w:r>
      <w:r>
        <w:rPr>
          <w:rFonts w:ascii="Times New Roman"/>
          <w:i/>
          <w:color w:val="0000FF"/>
          <w:spacing w:val="-2"/>
          <w:sz w:val="16"/>
        </w:rPr>
        <w:t>15-12-1995,</w:t>
      </w:r>
      <w:r>
        <w:rPr>
          <w:rFonts w:ascii="Times New Roman"/>
          <w:i/>
          <w:color w:val="0000FF"/>
          <w:spacing w:val="14"/>
          <w:sz w:val="16"/>
        </w:rPr>
        <w:t> </w:t>
      </w:r>
      <w:r>
        <w:rPr>
          <w:rFonts w:ascii="Times New Roman"/>
          <w:i/>
          <w:color w:val="0000FF"/>
          <w:spacing w:val="-2"/>
          <w:sz w:val="16"/>
        </w:rPr>
        <w:t>21-12-2007,</w:t>
      </w:r>
      <w:r>
        <w:rPr>
          <w:rFonts w:ascii="Times New Roman"/>
          <w:i/>
          <w:color w:val="0000FF"/>
          <w:spacing w:val="14"/>
          <w:sz w:val="16"/>
        </w:rPr>
        <w:t> </w:t>
      </w:r>
      <w:r>
        <w:rPr>
          <w:rFonts w:ascii="Times New Roman"/>
          <w:i/>
          <w:color w:val="0000FF"/>
          <w:spacing w:val="-2"/>
          <w:sz w:val="16"/>
        </w:rPr>
        <w:t>09-12-2013,</w:t>
      </w:r>
      <w:r>
        <w:rPr>
          <w:rFonts w:ascii="Times New Roman"/>
          <w:i/>
          <w:color w:val="0000FF"/>
          <w:spacing w:val="14"/>
          <w:sz w:val="16"/>
        </w:rPr>
        <w:t> </w:t>
      </w:r>
      <w:r>
        <w:rPr>
          <w:rFonts w:ascii="Times New Roman"/>
          <w:i/>
          <w:color w:val="0000FF"/>
          <w:spacing w:val="-2"/>
          <w:sz w:val="16"/>
        </w:rPr>
        <w:t>27-04-</w:t>
      </w:r>
      <w:r>
        <w:rPr>
          <w:rFonts w:ascii="Times New Roman"/>
          <w:i/>
          <w:color w:val="0000FF"/>
          <w:spacing w:val="-4"/>
          <w:sz w:val="16"/>
        </w:rPr>
        <w:t>2016</w:t>
      </w:r>
    </w:p>
    <w:p>
      <w:pPr>
        <w:pStyle w:val="BodyText"/>
        <w:spacing w:before="45"/>
        <w:rPr>
          <w:rFonts w:ascii="Times New Roman"/>
          <w:i/>
          <w:sz w:val="16"/>
        </w:rPr>
      </w:pPr>
    </w:p>
    <w:p>
      <w:pPr>
        <w:pStyle w:val="BodyText"/>
        <w:ind w:left="1" w:right="145" w:firstLine="288"/>
        <w:jc w:val="both"/>
      </w:pPr>
      <w:bookmarkStart w:name="Artículo_9_A" w:id="15"/>
      <w:bookmarkEnd w:id="15"/>
      <w:r>
        <w:rPr/>
      </w:r>
      <w:r>
        <w:rPr>
          <w:rFonts w:ascii="Arial" w:hAnsi="Arial"/>
          <w:b/>
        </w:rPr>
        <w:t>Artículo 9-A.- </w:t>
      </w:r>
      <w:r>
        <w:rPr/>
        <w:t>La</w:t>
      </w:r>
      <w:r>
        <w:rPr>
          <w:spacing w:val="-2"/>
        </w:rPr>
        <w:t> </w:t>
      </w:r>
      <w:r>
        <w:rPr/>
        <w:t>Federación, a</w:t>
      </w:r>
      <w:r>
        <w:rPr>
          <w:spacing w:val="-1"/>
        </w:rPr>
        <w:t> </w:t>
      </w:r>
      <w:r>
        <w:rPr/>
        <w:t>través de la Secretaría</w:t>
      </w:r>
      <w:r>
        <w:rPr>
          <w:spacing w:val="-1"/>
        </w:rPr>
        <w:t> </w:t>
      </w:r>
      <w:r>
        <w:rPr/>
        <w:t>de</w:t>
      </w:r>
      <w:r>
        <w:rPr>
          <w:spacing w:val="-1"/>
        </w:rPr>
        <w:t> </w:t>
      </w:r>
      <w:r>
        <w:rPr/>
        <w:t>Hacienda y</w:t>
      </w:r>
      <w:r>
        <w:rPr>
          <w:spacing w:val="-4"/>
        </w:rPr>
        <w:t> </w:t>
      </w:r>
      <w:r>
        <w:rPr/>
        <w:t>Crédito Público, y</w:t>
      </w:r>
      <w:r>
        <w:rPr>
          <w:spacing w:val="-2"/>
        </w:rPr>
        <w:t> </w:t>
      </w:r>
      <w:r>
        <w:rPr/>
        <w:t>los estados y municipios en donde existan puentes de peaje operados por la primera, podrán convenir en crear fondos cuyos recursos se destinen a la construcción, mantenimiento, reparación y ampliación de obras de vialidad en aquellos municipios donde se ubiquen dichos puentes o, en su caso, a la realización de obras de infraestructura o gasto de inversión, de impacto regional directamente en la zona donde se encuentre el cobro del peaje, sin que en ningún caso tales recursos se destinen al gasto corriente.</w:t>
      </w:r>
    </w:p>
    <w:p>
      <w:pPr>
        <w:pStyle w:val="BodyText"/>
        <w:spacing w:before="3"/>
      </w:pPr>
    </w:p>
    <w:p>
      <w:pPr>
        <w:pStyle w:val="BodyText"/>
        <w:ind w:left="1" w:right="143" w:firstLine="288"/>
        <w:jc w:val="both"/>
      </w:pPr>
      <w:r>
        <w:rPr/>
        <w:t>La aportación a los fondos mencionados se hará por el estado, por el municipio o, cuando así lo acordaren, por ambos, en un 20% del monto que aporte la Federación, sin que la aportación de ésta exceda de un 25% del monto total de los ingresos brutos que obtenga por la operación del puente de peaje de que se trate. La aportación federal se distribuirá como sigue: municipios 50% y estados 50%.</w:t>
      </w:r>
    </w:p>
    <w:p>
      <w:pPr>
        <w:pStyle w:val="BodyText"/>
      </w:pPr>
    </w:p>
    <w:p>
      <w:pPr>
        <w:pStyle w:val="BodyText"/>
        <w:spacing w:before="1"/>
        <w:ind w:left="1" w:right="138" w:firstLine="288"/>
        <w:jc w:val="both"/>
      </w:pPr>
      <w:r>
        <w:rPr/>
        <w:t>Para que un municipio donde exista un puente o varios pueda ser sujeto de participación de estos fondos, deberá acreditar un nivel recaudatorio de al menos un 50% más uno de la recaudación potencial de</w:t>
      </w:r>
      <w:r>
        <w:rPr>
          <w:spacing w:val="-1"/>
        </w:rPr>
        <w:t> </w:t>
      </w:r>
      <w:r>
        <w:rPr/>
        <w:t>su impuesto predial en el año inmediato anterior a la firma del convenio; en su defecto, podrá convenir un acuerdo de mejora recaudatoria de la Hacienda Pública local con la Federación, para poder aplicar a</w:t>
      </w:r>
      <w:r>
        <w:rPr>
          <w:spacing w:val="40"/>
        </w:rPr>
        <w:t> </w:t>
      </w:r>
      <w:r>
        <w:rPr/>
        <w:t>la creación de estos fondos en el ejercicio fiscal siguiente, siempre y cuando cumpla con el requisito de recaudación señalado con anterioridad.</w:t>
      </w:r>
    </w:p>
    <w:p>
      <w:pPr>
        <w:pStyle w:val="BodyText"/>
      </w:pPr>
    </w:p>
    <w:p>
      <w:pPr>
        <w:pStyle w:val="BodyText"/>
        <w:ind w:left="1" w:right="143" w:firstLine="288"/>
        <w:jc w:val="both"/>
      </w:pPr>
      <w:r>
        <w:rPr/>
        <w:t>En el caso de que el nivel recaudatorio, una vez firmado el convenio, se encuentre por debajo del</w:t>
      </w:r>
      <w:r>
        <w:rPr>
          <w:spacing w:val="40"/>
        </w:rPr>
        <w:t> </w:t>
      </w:r>
      <w:r>
        <w:rPr/>
        <w:t>50%, la cantidad de recursos se verá reducida de manera proporcional a la disminución porcentual del nivel</w:t>
      </w:r>
      <w:r>
        <w:rPr>
          <w:spacing w:val="-2"/>
        </w:rPr>
        <w:t> </w:t>
      </w:r>
      <w:r>
        <w:rPr/>
        <w:t>recaudatorio.</w:t>
      </w:r>
      <w:r>
        <w:rPr>
          <w:spacing w:val="-1"/>
        </w:rPr>
        <w:t> </w:t>
      </w:r>
      <w:r>
        <w:rPr/>
        <w:t>Si</w:t>
      </w:r>
      <w:r>
        <w:rPr>
          <w:spacing w:val="-2"/>
        </w:rPr>
        <w:t> </w:t>
      </w:r>
      <w:r>
        <w:rPr/>
        <w:t>en</w:t>
      </w:r>
      <w:r>
        <w:rPr>
          <w:spacing w:val="-2"/>
        </w:rPr>
        <w:t> </w:t>
      </w:r>
      <w:r>
        <w:rPr/>
        <w:t>el</w:t>
      </w:r>
      <w:r>
        <w:rPr>
          <w:spacing w:val="-2"/>
        </w:rPr>
        <w:t> </w:t>
      </w:r>
      <w:r>
        <w:rPr/>
        <w:t>momento</w:t>
      </w:r>
      <w:r>
        <w:rPr>
          <w:spacing w:val="-4"/>
        </w:rPr>
        <w:t> </w:t>
      </w:r>
      <w:r>
        <w:rPr/>
        <w:t>de</w:t>
      </w:r>
      <w:r>
        <w:rPr>
          <w:spacing w:val="-4"/>
        </w:rPr>
        <w:t> </w:t>
      </w:r>
      <w:r>
        <w:rPr/>
        <w:t>firmar</w:t>
      </w:r>
      <w:r>
        <w:rPr>
          <w:spacing w:val="-3"/>
        </w:rPr>
        <w:t> </w:t>
      </w:r>
      <w:r>
        <w:rPr/>
        <w:t>nuevamente</w:t>
      </w:r>
      <w:r>
        <w:rPr>
          <w:spacing w:val="-1"/>
        </w:rPr>
        <w:t> </w:t>
      </w:r>
      <w:r>
        <w:rPr/>
        <w:t>el</w:t>
      </w:r>
      <w:r>
        <w:rPr>
          <w:spacing w:val="-4"/>
        </w:rPr>
        <w:t> </w:t>
      </w:r>
      <w:r>
        <w:rPr/>
        <w:t>convenio,</w:t>
      </w:r>
      <w:r>
        <w:rPr>
          <w:spacing w:val="-1"/>
        </w:rPr>
        <w:t> </w:t>
      </w:r>
      <w:r>
        <w:rPr/>
        <w:t>el</w:t>
      </w:r>
      <w:r>
        <w:rPr>
          <w:spacing w:val="-4"/>
        </w:rPr>
        <w:t> </w:t>
      </w:r>
      <w:r>
        <w:rPr/>
        <w:t>municipio</w:t>
      </w:r>
      <w:r>
        <w:rPr>
          <w:spacing w:val="-3"/>
        </w:rPr>
        <w:t> </w:t>
      </w:r>
      <w:r>
        <w:rPr/>
        <w:t>se</w:t>
      </w:r>
      <w:r>
        <w:rPr>
          <w:spacing w:val="-1"/>
        </w:rPr>
        <w:t> </w:t>
      </w:r>
      <w:r>
        <w:rPr/>
        <w:t>encuentra</w:t>
      </w:r>
      <w:r>
        <w:rPr>
          <w:spacing w:val="-1"/>
        </w:rPr>
        <w:t> </w:t>
      </w:r>
      <w:r>
        <w:rPr/>
        <w:t>en</w:t>
      </w:r>
      <w:r>
        <w:rPr>
          <w:spacing w:val="-2"/>
        </w:rPr>
        <w:t> </w:t>
      </w:r>
      <w:r>
        <w:rPr/>
        <w:t>este supuesto, no será sujeto de refrendo el convenio citado hasta no cumplir nuevamente con el nivel recaudatorio exigido y hasta el próximo ejercicio fiscal.</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right="151" w:firstLine="288"/>
        <w:jc w:val="both"/>
      </w:pPr>
      <w:r>
        <w:rPr/>
        <w:t>El aforo vehicular de los puentes estará sujeto a las disposiciones aplicables de la Ley Federal de Transparencia y Acceso a la Información Pública Gubernamental.</w:t>
      </w:r>
    </w:p>
    <w:p>
      <w:pPr>
        <w:pStyle w:val="BodyText"/>
        <w:spacing w:before="229"/>
        <w:ind w:left="1" w:right="145" w:firstLine="288"/>
        <w:jc w:val="both"/>
      </w:pPr>
      <w:r>
        <w:rPr/>
        <w:t>Lo señalado en el presente artículo no será aplicable tratándose de los puentes administrados por el fideicomiso número 1936 del Fondo de Apoyo al Rescate Carretero.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20-07-1992.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15-12-1995,</w:t>
      </w:r>
      <w:r>
        <w:rPr>
          <w:rFonts w:ascii="Times New Roman" w:hAnsi="Times New Roman"/>
          <w:i/>
          <w:color w:val="0000FF"/>
          <w:spacing w:val="-9"/>
          <w:sz w:val="16"/>
        </w:rPr>
        <w:t> </w:t>
      </w:r>
      <w:r>
        <w:rPr>
          <w:rFonts w:ascii="Times New Roman" w:hAnsi="Times New Roman"/>
          <w:i/>
          <w:color w:val="0000FF"/>
          <w:sz w:val="16"/>
        </w:rPr>
        <w:t>14-07-2003,</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2003</w:t>
      </w:r>
    </w:p>
    <w:p>
      <w:pPr>
        <w:pStyle w:val="BodyText"/>
        <w:spacing w:before="46"/>
        <w:rPr>
          <w:rFonts w:ascii="Times New Roman"/>
          <w:i/>
          <w:sz w:val="16"/>
        </w:rPr>
      </w:pPr>
    </w:p>
    <w:p>
      <w:pPr>
        <w:pStyle w:val="Heading1"/>
        <w:spacing w:line="252" w:lineRule="exact" w:before="0"/>
        <w:ind w:right="1293"/>
      </w:pPr>
      <w:r>
        <w:rPr/>
        <w:t>CAPITULO</w:t>
      </w:r>
      <w:r>
        <w:rPr>
          <w:spacing w:val="-9"/>
        </w:rPr>
        <w:t> </w:t>
      </w:r>
      <w:r>
        <w:rPr>
          <w:spacing w:val="-7"/>
        </w:rPr>
        <w:t>II</w:t>
      </w:r>
    </w:p>
    <w:p>
      <w:pPr>
        <w:pStyle w:val="Heading2"/>
        <w:spacing w:line="252" w:lineRule="exact"/>
        <w:ind w:left="1156" w:right="1294"/>
      </w:pPr>
      <w:r>
        <w:rPr/>
        <w:t>Del</w:t>
      </w:r>
      <w:r>
        <w:rPr>
          <w:spacing w:val="-5"/>
        </w:rPr>
        <w:t> </w:t>
      </w:r>
      <w:r>
        <w:rPr/>
        <w:t>Sistema</w:t>
      </w:r>
      <w:r>
        <w:rPr>
          <w:spacing w:val="-6"/>
        </w:rPr>
        <w:t> </w:t>
      </w:r>
      <w:r>
        <w:rPr/>
        <w:t>Nacional</w:t>
      </w:r>
      <w:r>
        <w:rPr>
          <w:spacing w:val="-4"/>
        </w:rPr>
        <w:t> </w:t>
      </w:r>
      <w:r>
        <w:rPr/>
        <w:t>de</w:t>
      </w:r>
      <w:r>
        <w:rPr>
          <w:spacing w:val="-5"/>
        </w:rPr>
        <w:t> </w:t>
      </w:r>
      <w:r>
        <w:rPr/>
        <w:t>Coordinación</w:t>
      </w:r>
      <w:r>
        <w:rPr>
          <w:spacing w:val="-4"/>
        </w:rPr>
        <w:t> </w:t>
      </w:r>
      <w:r>
        <w:rPr>
          <w:spacing w:val="-2"/>
        </w:rPr>
        <w:t>Fiscal</w:t>
      </w:r>
    </w:p>
    <w:p>
      <w:pPr>
        <w:pStyle w:val="BodyText"/>
        <w:spacing w:line="242" w:lineRule="auto" w:before="231"/>
        <w:ind w:left="1" w:right="147" w:firstLine="288"/>
        <w:jc w:val="both"/>
      </w:pPr>
      <w:bookmarkStart w:name="Artículo_10" w:id="16"/>
      <w:bookmarkEnd w:id="16"/>
      <w:r>
        <w:rPr/>
      </w:r>
      <w:r>
        <w:rPr>
          <w:rFonts w:ascii="Arial" w:hAnsi="Arial"/>
          <w:b/>
        </w:rPr>
        <w:t>Artículo 10.- </w:t>
      </w:r>
      <w:r>
        <w:rPr/>
        <w:t>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50"/>
        <w:rPr>
          <w:rFonts w:ascii="Times New Roman"/>
          <w:i/>
          <w:sz w:val="16"/>
        </w:rPr>
      </w:pPr>
    </w:p>
    <w:p>
      <w:pPr>
        <w:pStyle w:val="BodyText"/>
        <w:ind w:left="1" w:right="140" w:firstLine="288"/>
        <w:jc w:val="both"/>
      </w:pPr>
      <w:r>
        <w:rPr/>
        <w:t>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50"/>
        <w:rPr>
          <w:rFonts w:ascii="Times New Roman"/>
          <w:i/>
          <w:sz w:val="16"/>
        </w:rPr>
      </w:pPr>
    </w:p>
    <w:p>
      <w:pPr>
        <w:pStyle w:val="BodyText"/>
        <w:ind w:left="1" w:right="146" w:firstLine="288"/>
        <w:jc w:val="both"/>
      </w:pPr>
      <w:r>
        <w:rPr/>
        <w:t>La adhesión al Sistema Nacional de Coordinación Fiscal deberá llevarse a cabo integralmente y no sólo en relación con algunos de los ingresos de la Federación.</w:t>
      </w:r>
    </w:p>
    <w:p>
      <w:pPr>
        <w:pStyle w:val="BodyText"/>
        <w:spacing w:before="229"/>
        <w:ind w:left="1" w:right="150" w:firstLine="288"/>
        <w:jc w:val="both"/>
      </w:pPr>
      <w:r>
        <w:rPr/>
        <w:t>Las Entidades que no deseen adherirse al Sistema Nacional de Coordinación Fiscal, participarán en los impuestos especiales a que se refiere el inciso 5o. de la fracción XXIX, del artículo 73 constitucional, en los términos que establecen las leyes respectivas.</w:t>
      </w:r>
    </w:p>
    <w:p>
      <w:pPr>
        <w:spacing w:line="240" w:lineRule="auto" w:before="0"/>
        <w:ind w:left="4593" w:right="0" w:firstLine="243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31-12-2000</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31-12-2000:</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cuarto</w:t>
      </w:r>
    </w:p>
    <w:p>
      <w:pPr>
        <w:pStyle w:val="BodyText"/>
        <w:spacing w:before="44"/>
        <w:rPr>
          <w:rFonts w:ascii="Times New Roman"/>
          <w:i/>
          <w:sz w:val="16"/>
        </w:rPr>
      </w:pPr>
    </w:p>
    <w:p>
      <w:pPr>
        <w:pStyle w:val="BodyText"/>
        <w:ind w:left="1" w:firstLine="288"/>
      </w:pPr>
      <w:bookmarkStart w:name="Artículo_10_A" w:id="17"/>
      <w:bookmarkEnd w:id="17"/>
      <w:r>
        <w:rPr/>
      </w:r>
      <w:r>
        <w:rPr>
          <w:rFonts w:ascii="Arial" w:hAnsi="Arial"/>
          <w:b/>
        </w:rPr>
        <w:t>Artículo 10-A.- </w:t>
      </w:r>
      <w:r>
        <w:rPr/>
        <w:t>Las entidades federativas que opten por coordinarse en derechos, no mantendrán en vigor derechos estatales o municipales por:</w:t>
      </w:r>
    </w:p>
    <w:p>
      <w:pPr>
        <w:spacing w:line="183" w:lineRule="exact" w:before="0"/>
        <w:ind w:left="392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15-04-1982.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31-12-1987,</w:t>
      </w:r>
      <w:r>
        <w:rPr>
          <w:rFonts w:ascii="Times New Roman" w:hAnsi="Times New Roman"/>
          <w:i/>
          <w:color w:val="0000FF"/>
          <w:spacing w:val="-5"/>
          <w:sz w:val="16"/>
        </w:rPr>
        <w:t> </w:t>
      </w:r>
      <w:r>
        <w:rPr>
          <w:rFonts w:ascii="Times New Roman" w:hAnsi="Times New Roman"/>
          <w:i/>
          <w:color w:val="0000FF"/>
          <w:sz w:val="16"/>
        </w:rPr>
        <w:t>28-12-</w:t>
      </w:r>
      <w:r>
        <w:rPr>
          <w:rFonts w:ascii="Times New Roman" w:hAnsi="Times New Roman"/>
          <w:i/>
          <w:color w:val="0000FF"/>
          <w:spacing w:val="-4"/>
          <w:sz w:val="16"/>
        </w:rPr>
        <w:t>1989</w:t>
      </w:r>
    </w:p>
    <w:p>
      <w:pPr>
        <w:pStyle w:val="BodyText"/>
        <w:spacing w:before="47"/>
        <w:rPr>
          <w:rFonts w:ascii="Times New Roman"/>
          <w:i/>
          <w:sz w:val="16"/>
        </w:rPr>
      </w:pPr>
    </w:p>
    <w:p>
      <w:pPr>
        <w:pStyle w:val="BodyText"/>
        <w:ind w:left="834" w:right="141" w:hanging="545"/>
        <w:jc w:val="both"/>
      </w:pPr>
      <w:r>
        <w:rPr>
          <w:rFonts w:ascii="Arial" w:hAnsi="Arial"/>
          <w:b/>
        </w:rPr>
        <w:t>I.-</w:t>
      </w:r>
      <w:r>
        <w:rPr>
          <w:rFonts w:ascii="Arial" w:hAnsi="Arial"/>
          <w:b/>
          <w:spacing w:val="80"/>
          <w:w w:val="150"/>
        </w:rPr>
        <w:t>  </w:t>
      </w:r>
      <w:r>
        <w:rPr/>
        <w:t>Licencias, anuencias previas al otorgamiento de las mismas,</w:t>
      </w:r>
      <w:r>
        <w:rPr>
          <w:spacing w:val="13"/>
        </w:rPr>
        <w:t> </w:t>
      </w:r>
      <w:r>
        <w:rPr/>
        <w:t>en general concesiones, permisos</w:t>
      </w:r>
      <w:r>
        <w:rPr>
          <w:spacing w:val="40"/>
        </w:rPr>
        <w:t> </w:t>
      </w:r>
      <w:r>
        <w:rPr/>
        <w:t>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03-12-</w:t>
      </w:r>
      <w:r>
        <w:rPr>
          <w:rFonts w:ascii="Times New Roman" w:hAnsi="Times New Roman"/>
          <w:i/>
          <w:color w:val="0000FF"/>
          <w:spacing w:val="-4"/>
          <w:sz w:val="16"/>
        </w:rPr>
        <w:t>1993</w:t>
      </w:r>
    </w:p>
    <w:p>
      <w:pPr>
        <w:pStyle w:val="BodyText"/>
        <w:tabs>
          <w:tab w:pos="1379" w:val="left" w:leader="none"/>
        </w:tabs>
        <w:spacing w:before="229"/>
        <w:ind w:left="834"/>
      </w:pPr>
      <w:r>
        <w:rPr>
          <w:rFonts w:ascii="Arial" w:hAnsi="Arial"/>
          <w:b/>
          <w:spacing w:val="-4"/>
        </w:rPr>
        <w:t>a).-</w:t>
      </w:r>
      <w:r>
        <w:rPr>
          <w:rFonts w:ascii="Arial" w:hAnsi="Arial"/>
          <w:b/>
        </w:rPr>
        <w:tab/>
      </w:r>
      <w:r>
        <w:rPr/>
        <w:t>Licencias</w:t>
      </w:r>
      <w:r>
        <w:rPr>
          <w:spacing w:val="-7"/>
        </w:rPr>
        <w:t> </w:t>
      </w:r>
      <w:r>
        <w:rPr/>
        <w:t>de</w:t>
      </w:r>
      <w:r>
        <w:rPr>
          <w:spacing w:val="-9"/>
        </w:rPr>
        <w:t> </w:t>
      </w:r>
      <w:r>
        <w:rPr>
          <w:spacing w:val="-2"/>
        </w:rPr>
        <w:t>construcción.</w:t>
      </w:r>
    </w:p>
    <w:p>
      <w:pPr>
        <w:pStyle w:val="BodyText"/>
        <w:spacing w:before="1"/>
      </w:pPr>
    </w:p>
    <w:p>
      <w:pPr>
        <w:pStyle w:val="BodyText"/>
        <w:tabs>
          <w:tab w:pos="1379" w:val="left" w:leader="none"/>
        </w:tabs>
        <w:spacing w:line="242" w:lineRule="auto"/>
        <w:ind w:left="1379" w:right="153" w:hanging="545"/>
      </w:pPr>
      <w:r>
        <w:rPr>
          <w:rFonts w:ascii="Arial" w:hAnsi="Arial"/>
          <w:b/>
          <w:spacing w:val="-4"/>
        </w:rPr>
        <w:t>b).-</w:t>
      </w:r>
      <w:r>
        <w:rPr>
          <w:rFonts w:ascii="Arial" w:hAnsi="Arial"/>
          <w:b/>
        </w:rPr>
        <w:tab/>
      </w:r>
      <w:r>
        <w:rPr/>
        <w:t>Licencias</w:t>
      </w:r>
      <w:r>
        <w:rPr>
          <w:spacing w:val="80"/>
        </w:rPr>
        <w:t> </w:t>
      </w:r>
      <w:r>
        <w:rPr/>
        <w:t>o</w:t>
      </w:r>
      <w:r>
        <w:rPr>
          <w:spacing w:val="80"/>
        </w:rPr>
        <w:t> </w:t>
      </w:r>
      <w:r>
        <w:rPr/>
        <w:t>permisos</w:t>
      </w:r>
      <w:r>
        <w:rPr>
          <w:spacing w:val="80"/>
        </w:rPr>
        <w:t> </w:t>
      </w:r>
      <w:r>
        <w:rPr/>
        <w:t>para</w:t>
      </w:r>
      <w:r>
        <w:rPr>
          <w:spacing w:val="80"/>
        </w:rPr>
        <w:t> </w:t>
      </w:r>
      <w:r>
        <w:rPr/>
        <w:t>efectuar</w:t>
      </w:r>
      <w:r>
        <w:rPr>
          <w:spacing w:val="80"/>
        </w:rPr>
        <w:t> </w:t>
      </w:r>
      <w:r>
        <w:rPr/>
        <w:t>conexiones</w:t>
      </w:r>
      <w:r>
        <w:rPr>
          <w:spacing w:val="80"/>
        </w:rPr>
        <w:t> </w:t>
      </w:r>
      <w:r>
        <w:rPr/>
        <w:t>a</w:t>
      </w:r>
      <w:r>
        <w:rPr>
          <w:spacing w:val="80"/>
        </w:rPr>
        <w:t> </w:t>
      </w:r>
      <w:r>
        <w:rPr/>
        <w:t>las</w:t>
      </w:r>
      <w:r>
        <w:rPr>
          <w:spacing w:val="80"/>
        </w:rPr>
        <w:t> </w:t>
      </w:r>
      <w:r>
        <w:rPr/>
        <w:t>redes</w:t>
      </w:r>
      <w:r>
        <w:rPr>
          <w:spacing w:val="80"/>
        </w:rPr>
        <w:t> </w:t>
      </w:r>
      <w:r>
        <w:rPr/>
        <w:t>públicas</w:t>
      </w:r>
      <w:r>
        <w:rPr>
          <w:spacing w:val="80"/>
        </w:rPr>
        <w:t> </w:t>
      </w:r>
      <w:r>
        <w:rPr/>
        <w:t>de</w:t>
      </w:r>
      <w:r>
        <w:rPr>
          <w:spacing w:val="80"/>
        </w:rPr>
        <w:t> </w:t>
      </w:r>
      <w:r>
        <w:rPr/>
        <w:t>agua</w:t>
      </w:r>
      <w:r>
        <w:rPr>
          <w:spacing w:val="80"/>
        </w:rPr>
        <w:t> </w:t>
      </w:r>
      <w:r>
        <w:rPr/>
        <w:t>y </w:t>
      </w:r>
      <w:r>
        <w:rPr>
          <w:spacing w:val="-2"/>
        </w:rPr>
        <w:t>alcantarillado.</w:t>
      </w:r>
    </w:p>
    <w:p>
      <w:pPr>
        <w:pStyle w:val="BodyText"/>
        <w:tabs>
          <w:tab w:pos="1379" w:val="left" w:leader="none"/>
        </w:tabs>
        <w:spacing w:before="227"/>
        <w:ind w:left="834"/>
      </w:pPr>
      <w:r>
        <w:rPr>
          <w:rFonts w:ascii="Arial"/>
          <w:b/>
          <w:spacing w:val="-4"/>
        </w:rPr>
        <w:t>c).-</w:t>
      </w:r>
      <w:r>
        <w:rPr>
          <w:rFonts w:ascii="Arial"/>
          <w:b/>
        </w:rPr>
        <w:tab/>
      </w:r>
      <w:r>
        <w:rPr/>
        <w:t>Licencias</w:t>
      </w:r>
      <w:r>
        <w:rPr>
          <w:spacing w:val="-8"/>
        </w:rPr>
        <w:t> </w:t>
      </w:r>
      <w:r>
        <w:rPr/>
        <w:t>para</w:t>
      </w:r>
      <w:r>
        <w:rPr>
          <w:spacing w:val="-6"/>
        </w:rPr>
        <w:t> </w:t>
      </w:r>
      <w:r>
        <w:rPr/>
        <w:t>fraccionar</w:t>
      </w:r>
      <w:r>
        <w:rPr>
          <w:spacing w:val="-8"/>
        </w:rPr>
        <w:t> </w:t>
      </w:r>
      <w:r>
        <w:rPr/>
        <w:t>o</w:t>
      </w:r>
      <w:r>
        <w:rPr>
          <w:spacing w:val="-7"/>
        </w:rPr>
        <w:t> </w:t>
      </w:r>
      <w:r>
        <w:rPr/>
        <w:t>lotificar</w:t>
      </w:r>
      <w:r>
        <w:rPr>
          <w:spacing w:val="-8"/>
        </w:rPr>
        <w:t> </w:t>
      </w:r>
      <w:r>
        <w:rPr>
          <w:spacing w:val="-2"/>
        </w:rPr>
        <w:t>terrenos.</w:t>
      </w:r>
    </w:p>
    <w:p>
      <w:pPr>
        <w:pStyle w:val="BodyText"/>
        <w:tabs>
          <w:tab w:pos="1379" w:val="left" w:leader="none"/>
        </w:tabs>
        <w:spacing w:before="228"/>
        <w:ind w:left="834"/>
      </w:pPr>
      <w:r>
        <w:rPr>
          <w:rFonts w:ascii="Arial" w:hAnsi="Arial"/>
          <w:b/>
          <w:spacing w:val="-4"/>
        </w:rPr>
        <w:t>d).-</w:t>
      </w:r>
      <w:r>
        <w:rPr>
          <w:rFonts w:ascii="Arial" w:hAnsi="Arial"/>
          <w:b/>
        </w:rPr>
        <w:tab/>
      </w:r>
      <w:r>
        <w:rPr/>
        <w:t>Licencias</w:t>
      </w:r>
      <w:r>
        <w:rPr>
          <w:spacing w:val="-9"/>
        </w:rPr>
        <w:t> </w:t>
      </w:r>
      <w:r>
        <w:rPr/>
        <w:t>para</w:t>
      </w:r>
      <w:r>
        <w:rPr>
          <w:spacing w:val="-8"/>
        </w:rPr>
        <w:t> </w:t>
      </w:r>
      <w:r>
        <w:rPr/>
        <w:t>conducir</w:t>
      </w:r>
      <w:r>
        <w:rPr>
          <w:spacing w:val="-9"/>
        </w:rPr>
        <w:t> </w:t>
      </w:r>
      <w:r>
        <w:rPr>
          <w:spacing w:val="-2"/>
        </w:rPr>
        <w:t>vehículos.</w:t>
      </w:r>
    </w:p>
    <w:p>
      <w:pPr>
        <w:pStyle w:val="BodyText"/>
        <w:spacing w:before="1"/>
      </w:pPr>
    </w:p>
    <w:p>
      <w:pPr>
        <w:pStyle w:val="BodyText"/>
        <w:tabs>
          <w:tab w:pos="1379" w:val="left" w:leader="none"/>
        </w:tabs>
        <w:ind w:left="834"/>
      </w:pPr>
      <w:r>
        <w:rPr>
          <w:rFonts w:ascii="Arial" w:hAnsi="Arial"/>
          <w:b/>
          <w:spacing w:val="-4"/>
        </w:rPr>
        <w:t>e).-</w:t>
      </w:r>
      <w:r>
        <w:rPr>
          <w:rFonts w:ascii="Arial" w:hAnsi="Arial"/>
          <w:b/>
        </w:rPr>
        <w:tab/>
      </w:r>
      <w:r>
        <w:rPr/>
        <w:t>Expedición</w:t>
      </w:r>
      <w:r>
        <w:rPr>
          <w:spacing w:val="-7"/>
        </w:rPr>
        <w:t> </w:t>
      </w:r>
      <w:r>
        <w:rPr/>
        <w:t>de</w:t>
      </w:r>
      <w:r>
        <w:rPr>
          <w:spacing w:val="-7"/>
        </w:rPr>
        <w:t> </w:t>
      </w:r>
      <w:r>
        <w:rPr/>
        <w:t>placas</w:t>
      </w:r>
      <w:r>
        <w:rPr>
          <w:spacing w:val="-4"/>
        </w:rPr>
        <w:t> </w:t>
      </w:r>
      <w:r>
        <w:rPr/>
        <w:t>y</w:t>
      </w:r>
      <w:r>
        <w:rPr>
          <w:spacing w:val="-7"/>
        </w:rPr>
        <w:t> </w:t>
      </w:r>
      <w:r>
        <w:rPr/>
        <w:t>tarjeta</w:t>
      </w:r>
      <w:r>
        <w:rPr>
          <w:spacing w:val="-8"/>
        </w:rPr>
        <w:t> </w:t>
      </w:r>
      <w:r>
        <w:rPr/>
        <w:t>para</w:t>
      </w:r>
      <w:r>
        <w:rPr>
          <w:spacing w:val="-6"/>
        </w:rPr>
        <w:t> </w:t>
      </w:r>
      <w:r>
        <w:rPr/>
        <w:t>la</w:t>
      </w:r>
      <w:r>
        <w:rPr>
          <w:spacing w:val="-7"/>
        </w:rPr>
        <w:t> </w:t>
      </w:r>
      <w:r>
        <w:rPr/>
        <w:t>circulación</w:t>
      </w:r>
      <w:r>
        <w:rPr>
          <w:spacing w:val="-6"/>
        </w:rPr>
        <w:t> </w:t>
      </w:r>
      <w:r>
        <w:rPr/>
        <w:t>de</w:t>
      </w:r>
      <w:r>
        <w:rPr>
          <w:spacing w:val="-7"/>
        </w:rPr>
        <w:t> </w:t>
      </w:r>
      <w:r>
        <w:rPr>
          <w:spacing w:val="-2"/>
        </w:rPr>
        <w:t>vehículos.</w:t>
      </w:r>
    </w:p>
    <w:p>
      <w:pPr>
        <w:pStyle w:val="BodyText"/>
        <w:spacing w:after="0"/>
        <w:sectPr>
          <w:pgSz w:w="12250" w:h="15850"/>
          <w:pgMar w:header="724" w:footer="712" w:top="1880" w:bottom="900" w:left="1417" w:right="1275"/>
        </w:sectPr>
      </w:pPr>
    </w:p>
    <w:p>
      <w:pPr>
        <w:pStyle w:val="BodyText"/>
        <w:spacing w:before="65"/>
      </w:pPr>
    </w:p>
    <w:p>
      <w:pPr>
        <w:pStyle w:val="BodyText"/>
        <w:ind w:left="1379" w:right="143" w:hanging="545"/>
        <w:jc w:val="both"/>
      </w:pPr>
      <w:r>
        <w:rPr>
          <w:rFonts w:ascii="Arial" w:hAnsi="Arial"/>
          <w:b/>
        </w:rPr>
        <w:t>f).-</w:t>
      </w:r>
      <w:r>
        <w:rPr>
          <w:rFonts w:ascii="Arial" w:hAnsi="Arial"/>
          <w:b/>
          <w:spacing w:val="80"/>
          <w:w w:val="150"/>
        </w:rPr>
        <w:t> </w:t>
      </w:r>
      <w:r>
        <w:rPr/>
        <w:t>Licencias,</w:t>
      </w:r>
      <w:r>
        <w:rPr>
          <w:spacing w:val="40"/>
        </w:rPr>
        <w:t> </w:t>
      </w:r>
      <w:r>
        <w:rPr/>
        <w:t>permisos</w:t>
      </w:r>
      <w:r>
        <w:rPr>
          <w:spacing w:val="40"/>
        </w:rPr>
        <w:t> </w:t>
      </w:r>
      <w:r>
        <w:rPr/>
        <w:t>o</w:t>
      </w:r>
      <w:r>
        <w:rPr>
          <w:spacing w:val="40"/>
        </w:rPr>
        <w:t> </w:t>
      </w:r>
      <w:r>
        <w:rPr/>
        <w:t>autorizaciones</w:t>
      </w:r>
      <w:r>
        <w:rPr>
          <w:spacing w:val="40"/>
        </w:rPr>
        <w:t> </w:t>
      </w:r>
      <w:r>
        <w:rPr/>
        <w:t>para</w:t>
      </w:r>
      <w:r>
        <w:rPr>
          <w:spacing w:val="40"/>
        </w:rPr>
        <w:t> </w:t>
      </w:r>
      <w:r>
        <w:rPr/>
        <w:t>el</w:t>
      </w:r>
      <w:r>
        <w:rPr>
          <w:spacing w:val="40"/>
        </w:rPr>
        <w:t> </w:t>
      </w:r>
      <w:r>
        <w:rPr/>
        <w:t>funcionamiento</w:t>
      </w:r>
      <w:r>
        <w:rPr>
          <w:spacing w:val="40"/>
        </w:rPr>
        <w:t> </w:t>
      </w:r>
      <w:r>
        <w:rPr/>
        <w:t>de</w:t>
      </w:r>
      <w:r>
        <w:rPr>
          <w:spacing w:val="40"/>
        </w:rPr>
        <w:t> </w:t>
      </w:r>
      <w:r>
        <w:rPr/>
        <w:t>establecimientos</w:t>
      </w:r>
      <w:r>
        <w:rPr>
          <w:spacing w:val="40"/>
        </w:rPr>
        <w:t> </w:t>
      </w:r>
      <w:r>
        <w:rPr/>
        <w:t>o locales, cuyos giros sean la enajenación de bebidas alcohólicas o la prestación de servicios que incluyan el expendio de dichas bebidas, siempre que se efectúen total o parcialmente con el público en general.</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15-12-</w:t>
      </w:r>
      <w:r>
        <w:rPr>
          <w:rFonts w:ascii="Times New Roman"/>
          <w:i/>
          <w:color w:val="0000FF"/>
          <w:spacing w:val="-4"/>
          <w:sz w:val="16"/>
        </w:rPr>
        <w:t>1995</w:t>
      </w:r>
    </w:p>
    <w:p>
      <w:pPr>
        <w:pStyle w:val="BodyText"/>
        <w:spacing w:before="47"/>
        <w:rPr>
          <w:rFonts w:ascii="Times New Roman"/>
          <w:i/>
          <w:sz w:val="16"/>
        </w:rPr>
      </w:pPr>
    </w:p>
    <w:p>
      <w:pPr>
        <w:pStyle w:val="BodyText"/>
        <w:ind w:left="1379" w:right="149" w:hanging="545"/>
        <w:jc w:val="both"/>
      </w:pPr>
      <w:r>
        <w:rPr>
          <w:rFonts w:ascii="Arial" w:hAnsi="Arial"/>
          <w:b/>
        </w:rPr>
        <w:t>g).-</w:t>
      </w:r>
      <w:r>
        <w:rPr>
          <w:rFonts w:ascii="Arial" w:hAnsi="Arial"/>
          <w:b/>
          <w:spacing w:val="40"/>
        </w:rPr>
        <w:t> </w:t>
      </w:r>
      <w:r>
        <w:rPr/>
        <w:t>Licencias, permisos o autorizaciones para la colocación de anuncios y carteles o la realización de publicidad, excepto los que se realicen por medio de televisión, radio, periódicos y revistas.</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15-12-</w:t>
      </w:r>
      <w:r>
        <w:rPr>
          <w:rFonts w:ascii="Times New Roman"/>
          <w:i/>
          <w:color w:val="0000FF"/>
          <w:spacing w:val="-4"/>
          <w:sz w:val="16"/>
        </w:rPr>
        <w:t>1995</w:t>
      </w:r>
    </w:p>
    <w:p>
      <w:pPr>
        <w:pStyle w:val="BodyText"/>
        <w:spacing w:before="48"/>
        <w:rPr>
          <w:rFonts w:ascii="Times New Roman"/>
          <w:i/>
          <w:sz w:val="16"/>
        </w:rPr>
      </w:pPr>
    </w:p>
    <w:p>
      <w:pPr>
        <w:pStyle w:val="BodyText"/>
        <w:tabs>
          <w:tab w:pos="834" w:val="left" w:leader="none"/>
        </w:tabs>
        <w:ind w:left="289"/>
      </w:pPr>
      <w:r>
        <w:rPr>
          <w:rFonts w:ascii="Arial" w:hAnsi="Arial"/>
          <w:b/>
          <w:spacing w:val="-4"/>
        </w:rPr>
        <w:t>II.-</w:t>
      </w:r>
      <w:r>
        <w:rPr>
          <w:rFonts w:ascii="Arial" w:hAnsi="Arial"/>
          <w:b/>
        </w:rPr>
        <w:tab/>
      </w:r>
      <w:r>
        <w:rPr/>
        <w:t>Registros</w:t>
      </w:r>
      <w:r>
        <w:rPr>
          <w:spacing w:val="-5"/>
        </w:rPr>
        <w:t> </w:t>
      </w:r>
      <w:r>
        <w:rPr/>
        <w:t>o</w:t>
      </w:r>
      <w:r>
        <w:rPr>
          <w:spacing w:val="-6"/>
        </w:rPr>
        <w:t> </w:t>
      </w:r>
      <w:r>
        <w:rPr/>
        <w:t>cualquier</w:t>
      </w:r>
      <w:r>
        <w:rPr>
          <w:spacing w:val="-7"/>
        </w:rPr>
        <w:t> </w:t>
      </w:r>
      <w:r>
        <w:rPr/>
        <w:t>acto</w:t>
      </w:r>
      <w:r>
        <w:rPr>
          <w:spacing w:val="-7"/>
        </w:rPr>
        <w:t> </w:t>
      </w:r>
      <w:r>
        <w:rPr/>
        <w:t>relacionado</w:t>
      </w:r>
      <w:r>
        <w:rPr>
          <w:spacing w:val="-8"/>
        </w:rPr>
        <w:t> </w:t>
      </w:r>
      <w:r>
        <w:rPr/>
        <w:t>con</w:t>
      </w:r>
      <w:r>
        <w:rPr>
          <w:spacing w:val="-6"/>
        </w:rPr>
        <w:t> </w:t>
      </w:r>
      <w:r>
        <w:rPr/>
        <w:t>los</w:t>
      </w:r>
      <w:r>
        <w:rPr>
          <w:spacing w:val="-6"/>
        </w:rPr>
        <w:t> </w:t>
      </w:r>
      <w:r>
        <w:rPr/>
        <w:t>mismos,</w:t>
      </w:r>
      <w:r>
        <w:rPr>
          <w:spacing w:val="-7"/>
        </w:rPr>
        <w:t> </w:t>
      </w:r>
      <w:r>
        <w:rPr/>
        <w:t>a</w:t>
      </w:r>
      <w:r>
        <w:rPr>
          <w:spacing w:val="-8"/>
        </w:rPr>
        <w:t> </w:t>
      </w:r>
      <w:r>
        <w:rPr/>
        <w:t>excepción</w:t>
      </w:r>
      <w:r>
        <w:rPr>
          <w:spacing w:val="-6"/>
        </w:rPr>
        <w:t> </w:t>
      </w:r>
      <w:r>
        <w:rPr/>
        <w:t>de</w:t>
      </w:r>
      <w:r>
        <w:rPr>
          <w:spacing w:val="-6"/>
        </w:rPr>
        <w:t> </w:t>
      </w:r>
      <w:r>
        <w:rPr/>
        <w:t>los</w:t>
      </w:r>
      <w:r>
        <w:rPr>
          <w:spacing w:val="-5"/>
        </w:rPr>
        <w:t> </w:t>
      </w:r>
      <w:r>
        <w:rPr>
          <w:spacing w:val="-2"/>
        </w:rPr>
        <w:t>siguientes:</w:t>
      </w:r>
    </w:p>
    <w:p>
      <w:pPr>
        <w:tabs>
          <w:tab w:pos="1379" w:val="left" w:leader="none"/>
        </w:tabs>
        <w:spacing w:before="228"/>
        <w:ind w:left="834" w:right="0" w:firstLine="0"/>
        <w:jc w:val="left"/>
        <w:rPr>
          <w:sz w:val="20"/>
        </w:rPr>
      </w:pPr>
      <w:r>
        <w:rPr>
          <w:rFonts w:ascii="Arial"/>
          <w:b/>
          <w:spacing w:val="-4"/>
          <w:sz w:val="20"/>
        </w:rPr>
        <w:t>a).-</w:t>
      </w:r>
      <w:r>
        <w:rPr>
          <w:rFonts w:ascii="Arial"/>
          <w:b/>
          <w:sz w:val="20"/>
        </w:rPr>
        <w:tab/>
      </w:r>
      <w:r>
        <w:rPr>
          <w:sz w:val="20"/>
        </w:rPr>
        <w:t>Registro</w:t>
      </w:r>
      <w:r>
        <w:rPr>
          <w:spacing w:val="-11"/>
          <w:sz w:val="20"/>
        </w:rPr>
        <w:t> </w:t>
      </w:r>
      <w:r>
        <w:rPr>
          <w:spacing w:val="-4"/>
          <w:sz w:val="20"/>
        </w:rPr>
        <w:t>Civil</w:t>
      </w:r>
    </w:p>
    <w:p>
      <w:pPr>
        <w:pStyle w:val="BodyText"/>
        <w:spacing w:before="1"/>
      </w:pPr>
    </w:p>
    <w:p>
      <w:pPr>
        <w:pStyle w:val="BodyText"/>
        <w:tabs>
          <w:tab w:pos="1379" w:val="left" w:leader="none"/>
        </w:tabs>
        <w:ind w:left="834"/>
      </w:pPr>
      <w:r>
        <w:rPr>
          <w:rFonts w:ascii="Arial"/>
          <w:b/>
          <w:spacing w:val="-4"/>
        </w:rPr>
        <w:t>b).-</w:t>
      </w:r>
      <w:r>
        <w:rPr>
          <w:rFonts w:ascii="Arial"/>
          <w:b/>
        </w:rPr>
        <w:tab/>
      </w:r>
      <w:r>
        <w:rPr/>
        <w:t>Registro</w:t>
      </w:r>
      <w:r>
        <w:rPr>
          <w:spacing w:val="-6"/>
        </w:rPr>
        <w:t> </w:t>
      </w:r>
      <w:r>
        <w:rPr/>
        <w:t>de</w:t>
      </w:r>
      <w:r>
        <w:rPr>
          <w:spacing w:val="-6"/>
        </w:rPr>
        <w:t> </w:t>
      </w:r>
      <w:r>
        <w:rPr/>
        <w:t>la</w:t>
      </w:r>
      <w:r>
        <w:rPr>
          <w:spacing w:val="-5"/>
        </w:rPr>
        <w:t> </w:t>
      </w:r>
      <w:r>
        <w:rPr/>
        <w:t>Propiedad</w:t>
      </w:r>
      <w:r>
        <w:rPr>
          <w:spacing w:val="-3"/>
        </w:rPr>
        <w:t> </w:t>
      </w:r>
      <w:r>
        <w:rPr/>
        <w:t>y</w:t>
      </w:r>
      <w:r>
        <w:rPr>
          <w:spacing w:val="-8"/>
        </w:rPr>
        <w:t> </w:t>
      </w:r>
      <w:r>
        <w:rPr/>
        <w:t>del</w:t>
      </w:r>
      <w:r>
        <w:rPr>
          <w:spacing w:val="-7"/>
        </w:rPr>
        <w:t> </w:t>
      </w:r>
      <w:r>
        <w:rPr>
          <w:spacing w:val="-2"/>
        </w:rPr>
        <w:t>Comercio.</w:t>
      </w:r>
    </w:p>
    <w:p>
      <w:pPr>
        <w:pStyle w:val="BodyText"/>
        <w:spacing w:before="1"/>
      </w:pPr>
    </w:p>
    <w:p>
      <w:pPr>
        <w:pStyle w:val="BodyText"/>
        <w:ind w:left="834" w:right="147" w:hanging="545"/>
        <w:jc w:val="both"/>
      </w:pPr>
      <w:r>
        <w:rPr>
          <w:rFonts w:ascii="Arial" w:hAnsi="Arial"/>
          <w:b/>
        </w:rPr>
        <w:t>III.-</w:t>
      </w:r>
      <w:r>
        <w:rPr>
          <w:rFonts w:ascii="Arial" w:hAnsi="Arial"/>
          <w:b/>
          <w:spacing w:val="40"/>
        </w:rPr>
        <w:t> </w:t>
      </w:r>
      <w:r>
        <w:rPr/>
        <w:t>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w:t>
      </w:r>
    </w:p>
    <w:p>
      <w:pPr>
        <w:spacing w:line="183" w:lineRule="exact" w:before="0"/>
        <w:ind w:left="6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28-12-1989,</w:t>
      </w:r>
      <w:r>
        <w:rPr>
          <w:rFonts w:ascii="Times New Roman" w:hAnsi="Times New Roman"/>
          <w:i/>
          <w:color w:val="0000FF"/>
          <w:spacing w:val="-7"/>
          <w:sz w:val="16"/>
        </w:rPr>
        <w:t> </w:t>
      </w:r>
      <w:r>
        <w:rPr>
          <w:rFonts w:ascii="Times New Roman" w:hAnsi="Times New Roman"/>
          <w:i/>
          <w:color w:val="0000FF"/>
          <w:sz w:val="16"/>
        </w:rPr>
        <w:t>15-12-</w:t>
      </w:r>
      <w:r>
        <w:rPr>
          <w:rFonts w:ascii="Times New Roman" w:hAnsi="Times New Roman"/>
          <w:i/>
          <w:color w:val="0000FF"/>
          <w:spacing w:val="-4"/>
          <w:sz w:val="16"/>
        </w:rPr>
        <w:t>1995</w:t>
      </w:r>
    </w:p>
    <w:p>
      <w:pPr>
        <w:pStyle w:val="BodyText"/>
        <w:tabs>
          <w:tab w:pos="834" w:val="left" w:leader="none"/>
        </w:tabs>
        <w:spacing w:before="229"/>
        <w:ind w:left="289"/>
      </w:pPr>
      <w:r>
        <w:rPr>
          <w:rFonts w:ascii="Arial" w:hAnsi="Arial"/>
          <w:b/>
          <w:spacing w:val="-4"/>
        </w:rPr>
        <w:t>IV.-</w:t>
      </w:r>
      <w:r>
        <w:rPr>
          <w:rFonts w:ascii="Arial" w:hAnsi="Arial"/>
          <w:b/>
        </w:rPr>
        <w:tab/>
      </w:r>
      <w:r>
        <w:rPr/>
        <w:t>Actos</w:t>
      </w:r>
      <w:r>
        <w:rPr>
          <w:spacing w:val="-6"/>
        </w:rPr>
        <w:t> </w:t>
      </w:r>
      <w:r>
        <w:rPr/>
        <w:t>de</w:t>
      </w:r>
      <w:r>
        <w:rPr>
          <w:spacing w:val="-5"/>
        </w:rPr>
        <w:t> </w:t>
      </w:r>
      <w:r>
        <w:rPr/>
        <w:t>inspección</w:t>
      </w:r>
      <w:r>
        <w:rPr>
          <w:spacing w:val="-3"/>
        </w:rPr>
        <w:t> </w:t>
      </w:r>
      <w:r>
        <w:rPr/>
        <w:t>y</w:t>
      </w:r>
      <w:r>
        <w:rPr>
          <w:spacing w:val="-7"/>
        </w:rPr>
        <w:t> </w:t>
      </w:r>
      <w:r>
        <w:rPr>
          <w:spacing w:val="-2"/>
        </w:rPr>
        <w:t>vigilancia.</w:t>
      </w:r>
    </w:p>
    <w:p>
      <w:pPr>
        <w:pStyle w:val="BodyText"/>
        <w:spacing w:line="242" w:lineRule="auto" w:before="227"/>
        <w:ind w:left="834" w:right="146" w:hanging="545"/>
        <w:jc w:val="both"/>
      </w:pPr>
      <w:r>
        <w:rPr>
          <w:rFonts w:ascii="Arial" w:hAnsi="Arial"/>
          <w:b/>
        </w:rPr>
        <w:t>V.-</w:t>
      </w:r>
      <w:r>
        <w:rPr>
          <w:rFonts w:ascii="Arial" w:hAnsi="Arial"/>
          <w:b/>
          <w:spacing w:val="80"/>
        </w:rPr>
        <w:t>  </w:t>
      </w:r>
      <w:r>
        <w:rPr/>
        <w:t>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27-04-</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 w:right="149" w:firstLine="288"/>
        <w:jc w:val="both"/>
      </w:pPr>
      <w:r>
        <w:rPr/>
        <w:t>Los derechos locales o municipales no podrán ser diferenciales considerando el tipo de actividad a</w:t>
      </w:r>
      <w:r>
        <w:rPr>
          <w:spacing w:val="40"/>
        </w:rPr>
        <w:t> </w:t>
      </w:r>
      <w:r>
        <w:rPr/>
        <w:t>que se dedique el contribuyente, excepto tratándose de derechos diferenciales por los conceptos a los que se refieren los incisos del a) al g) de la fracción I y la fracción III.</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15-12-</w:t>
      </w:r>
      <w:r>
        <w:rPr>
          <w:rFonts w:ascii="Times New Roman" w:hAnsi="Times New Roman"/>
          <w:i/>
          <w:color w:val="0000FF"/>
          <w:spacing w:val="-4"/>
          <w:sz w:val="16"/>
        </w:rPr>
        <w:t>1995</w:t>
      </w:r>
    </w:p>
    <w:p>
      <w:pPr>
        <w:pStyle w:val="BodyText"/>
        <w:spacing w:before="49"/>
        <w:rPr>
          <w:rFonts w:ascii="Times New Roman"/>
          <w:i/>
          <w:sz w:val="16"/>
        </w:rPr>
      </w:pPr>
    </w:p>
    <w:p>
      <w:pPr>
        <w:pStyle w:val="BodyText"/>
        <w:spacing w:before="1"/>
        <w:ind w:left="1" w:right="146" w:firstLine="288"/>
        <w:jc w:val="both"/>
      </w:pPr>
      <w:r>
        <w:rPr/>
        <w:t>Las</w:t>
      </w:r>
      <w:r>
        <w:rPr>
          <w:spacing w:val="-1"/>
        </w:rPr>
        <w:t> </w:t>
      </w:r>
      <w:r>
        <w:rPr/>
        <w:t>certificaciones</w:t>
      </w:r>
      <w:r>
        <w:rPr>
          <w:spacing w:val="-1"/>
        </w:rPr>
        <w:t> </w:t>
      </w:r>
      <w:r>
        <w:rPr/>
        <w:t>de</w:t>
      </w:r>
      <w:r>
        <w:rPr>
          <w:spacing w:val="-2"/>
        </w:rPr>
        <w:t> </w:t>
      </w:r>
      <w:r>
        <w:rPr/>
        <w:t>documentos</w:t>
      </w:r>
      <w:r>
        <w:rPr>
          <w:spacing w:val="-1"/>
        </w:rPr>
        <w:t> </w:t>
      </w:r>
      <w:r>
        <w:rPr/>
        <w:t>así</w:t>
      </w:r>
      <w:r>
        <w:rPr>
          <w:spacing w:val="-2"/>
        </w:rPr>
        <w:t> </w:t>
      </w:r>
      <w:r>
        <w:rPr/>
        <w:t>como</w:t>
      </w:r>
      <w:r>
        <w:rPr>
          <w:spacing w:val="-2"/>
        </w:rPr>
        <w:t> </w:t>
      </w:r>
      <w:r>
        <w:rPr/>
        <w:t>la</w:t>
      </w:r>
      <w:r>
        <w:rPr>
          <w:spacing w:val="-2"/>
        </w:rPr>
        <w:t> </w:t>
      </w:r>
      <w:r>
        <w:rPr/>
        <w:t>reposición</w:t>
      </w:r>
      <w:r>
        <w:rPr>
          <w:spacing w:val="-2"/>
        </w:rPr>
        <w:t> </w:t>
      </w:r>
      <w:r>
        <w:rPr/>
        <w:t>de</w:t>
      </w:r>
      <w:r>
        <w:rPr>
          <w:spacing w:val="-2"/>
        </w:rPr>
        <w:t> </w:t>
      </w:r>
      <w:r>
        <w:rPr/>
        <w:t>éstos</w:t>
      </w:r>
      <w:r>
        <w:rPr>
          <w:spacing w:val="-1"/>
        </w:rPr>
        <w:t> </w:t>
      </w:r>
      <w:r>
        <w:rPr/>
        <w:t>por</w:t>
      </w:r>
      <w:r>
        <w:rPr>
          <w:spacing w:val="-1"/>
        </w:rPr>
        <w:t> </w:t>
      </w:r>
      <w:r>
        <w:rPr/>
        <w:t>extravío</w:t>
      </w:r>
      <w:r>
        <w:rPr>
          <w:spacing w:val="-2"/>
        </w:rPr>
        <w:t> </w:t>
      </w:r>
      <w:r>
        <w:rPr/>
        <w:t>o destrucción</w:t>
      </w:r>
      <w:r>
        <w:rPr>
          <w:spacing w:val="-2"/>
        </w:rPr>
        <w:t> </w:t>
      </w:r>
      <w:r>
        <w:rPr/>
        <w:t>parcial</w:t>
      </w:r>
      <w:r>
        <w:rPr>
          <w:spacing w:val="-1"/>
        </w:rPr>
        <w:t> </w:t>
      </w:r>
      <w:r>
        <w:rPr/>
        <w:t>o total, no quedará comprendida dentro de lo dispuesto en las fracciones I y II de este artículo. Tampoco quedan comprendidas las concesiones por el uso o aprovechamiento de bienes pertenecientes a las Entidades Federativas o a los Municipios.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15-04-</w:t>
      </w:r>
      <w:r>
        <w:rPr>
          <w:rFonts w:ascii="Times New Roman" w:hAnsi="Times New Roman"/>
          <w:i/>
          <w:color w:val="0000FF"/>
          <w:spacing w:val="-4"/>
          <w:sz w:val="16"/>
        </w:rPr>
        <w:t>1982</w:t>
      </w:r>
    </w:p>
    <w:p>
      <w:pPr>
        <w:pStyle w:val="BodyText"/>
        <w:spacing w:before="50"/>
        <w:rPr>
          <w:rFonts w:ascii="Times New Roman"/>
          <w:i/>
          <w:sz w:val="16"/>
        </w:rPr>
      </w:pPr>
    </w:p>
    <w:p>
      <w:pPr>
        <w:pStyle w:val="BodyText"/>
        <w:ind w:left="1" w:right="143" w:firstLine="288"/>
        <w:jc w:val="both"/>
      </w:pPr>
      <w:r>
        <w:rPr/>
        <w:t>En ningún caso lo dispuesto en este artículo, se entenderá que limita la facultad de los Estados y Municipios para requerir licencias, registros, permisos o autorizaciones, otorgar concesiones y realizar actos</w:t>
      </w:r>
      <w:r>
        <w:rPr>
          <w:spacing w:val="-2"/>
        </w:rPr>
        <w:t> </w:t>
      </w:r>
      <w:r>
        <w:rPr/>
        <w:t>de</w:t>
      </w:r>
      <w:r>
        <w:rPr>
          <w:spacing w:val="-1"/>
        </w:rPr>
        <w:t> </w:t>
      </w:r>
      <w:r>
        <w:rPr/>
        <w:t>inspección y</w:t>
      </w:r>
      <w:r>
        <w:rPr>
          <w:spacing w:val="-4"/>
        </w:rPr>
        <w:t> </w:t>
      </w:r>
      <w:r>
        <w:rPr/>
        <w:t>vigilancia.</w:t>
      </w:r>
      <w:r>
        <w:rPr>
          <w:spacing w:val="-1"/>
        </w:rPr>
        <w:t> </w:t>
      </w:r>
      <w:r>
        <w:rPr/>
        <w:t>Para</w:t>
      </w:r>
      <w:r>
        <w:rPr>
          <w:spacing w:val="-3"/>
        </w:rPr>
        <w:t> </w:t>
      </w:r>
      <w:r>
        <w:rPr/>
        <w:t>el</w:t>
      </w:r>
      <w:r>
        <w:rPr>
          <w:spacing w:val="-2"/>
        </w:rPr>
        <w:t> </w:t>
      </w:r>
      <w:r>
        <w:rPr/>
        <w:t>ejercicio</w:t>
      </w:r>
      <w:r>
        <w:rPr>
          <w:spacing w:val="-1"/>
        </w:rPr>
        <w:t> </w:t>
      </w:r>
      <w:r>
        <w:rPr/>
        <w:t>de</w:t>
      </w:r>
      <w:r>
        <w:rPr>
          <w:spacing w:val="-1"/>
        </w:rPr>
        <w:t> </w:t>
      </w:r>
      <w:r>
        <w:rPr/>
        <w:t>estas</w:t>
      </w:r>
      <w:r>
        <w:rPr>
          <w:spacing w:val="-2"/>
        </w:rPr>
        <w:t> </w:t>
      </w:r>
      <w:r>
        <w:rPr/>
        <w:t>facultades</w:t>
      </w:r>
      <w:r>
        <w:rPr>
          <w:spacing w:val="-2"/>
        </w:rPr>
        <w:t> </w:t>
      </w:r>
      <w:r>
        <w:rPr/>
        <w:t>no</w:t>
      </w:r>
      <w:r>
        <w:rPr>
          <w:spacing w:val="-3"/>
        </w:rPr>
        <w:t> </w:t>
      </w:r>
      <w:r>
        <w:rPr/>
        <w:t>se</w:t>
      </w:r>
      <w:r>
        <w:rPr>
          <w:spacing w:val="-1"/>
        </w:rPr>
        <w:t> </w:t>
      </w:r>
      <w:r>
        <w:rPr/>
        <w:t>podrá</w:t>
      </w:r>
      <w:r>
        <w:rPr>
          <w:spacing w:val="-1"/>
        </w:rPr>
        <w:t> </w:t>
      </w:r>
      <w:r>
        <w:rPr/>
        <w:t>exigir cobro</w:t>
      </w:r>
      <w:r>
        <w:rPr>
          <w:spacing w:val="-1"/>
        </w:rPr>
        <w:t> </w:t>
      </w:r>
      <w:r>
        <w:rPr/>
        <w:t>alguno,</w:t>
      </w:r>
      <w:r>
        <w:rPr>
          <w:spacing w:val="-3"/>
        </w:rPr>
        <w:t> </w:t>
      </w:r>
      <w:r>
        <w:rPr/>
        <w:t>con las salvedades expresamente señaladas en este artículo.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03-12-</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1" w:right="147" w:firstLine="288"/>
        <w:jc w:val="both"/>
      </w:pPr>
      <w:r>
        <w:rPr/>
        <w:t>Para los efectos de coordinación con las Entidades, se considerarán derechos, aún cuando tengan</w:t>
      </w:r>
      <w:r>
        <w:rPr>
          <w:spacing w:val="40"/>
        </w:rPr>
        <w:t> </w:t>
      </w:r>
      <w:r>
        <w:rPr/>
        <w:t>una denominación distinta en la legislación local correspondiente, las contribuciones que tengan las características de derecho conforme al Código Fiscal de la Federación y la Ley de Ingresos de la </w:t>
      </w:r>
      <w:r>
        <w:rPr>
          <w:spacing w:val="-2"/>
        </w:rPr>
        <w:t>Federación.</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right="145" w:firstLine="288"/>
        <w:jc w:val="both"/>
      </w:pPr>
      <w:r>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p>
      <w:pPr>
        <w:spacing w:line="240" w:lineRule="auto" w:before="0"/>
        <w:ind w:left="4514" w:right="0" w:firstLine="247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03-12-1993</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31-12-2000:</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séptimo</w:t>
      </w:r>
    </w:p>
    <w:p>
      <w:pPr>
        <w:spacing w:line="183" w:lineRule="exact" w:before="0"/>
        <w:ind w:left="696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1981</w:t>
      </w:r>
    </w:p>
    <w:p>
      <w:pPr>
        <w:pStyle w:val="BodyText"/>
        <w:spacing w:before="44"/>
        <w:rPr>
          <w:rFonts w:ascii="Times New Roman"/>
          <w:i/>
          <w:sz w:val="16"/>
        </w:rPr>
      </w:pPr>
    </w:p>
    <w:p>
      <w:pPr>
        <w:pStyle w:val="BodyText"/>
        <w:spacing w:line="242" w:lineRule="auto"/>
        <w:ind w:left="1" w:right="150" w:firstLine="288"/>
        <w:jc w:val="both"/>
      </w:pPr>
      <w:bookmarkStart w:name="Artículo_10_B" w:id="18"/>
      <w:bookmarkEnd w:id="18"/>
      <w:r>
        <w:rPr/>
      </w:r>
      <w:r>
        <w:rPr>
          <w:rFonts w:ascii="Arial" w:hAnsi="Arial"/>
          <w:b/>
        </w:rPr>
        <w:t>Artículo</w:t>
      </w:r>
      <w:r>
        <w:rPr>
          <w:rFonts w:ascii="Arial" w:hAnsi="Arial"/>
          <w:b/>
          <w:spacing w:val="-2"/>
        </w:rPr>
        <w:t> </w:t>
      </w:r>
      <w:r>
        <w:rPr>
          <w:rFonts w:ascii="Arial" w:hAnsi="Arial"/>
          <w:b/>
        </w:rPr>
        <w:t>10-B.-</w:t>
      </w:r>
      <w:r>
        <w:rPr>
          <w:rFonts w:ascii="Arial" w:hAnsi="Arial"/>
          <w:b/>
          <w:spacing w:val="-2"/>
        </w:rPr>
        <w:t> </w:t>
      </w:r>
      <w:r>
        <w:rPr/>
        <w:t>Las</w:t>
      </w:r>
      <w:r>
        <w:rPr>
          <w:spacing w:val="-2"/>
        </w:rPr>
        <w:t> </w:t>
      </w:r>
      <w:r>
        <w:rPr/>
        <w:t>Entidades</w:t>
      </w:r>
      <w:r>
        <w:rPr>
          <w:spacing w:val="-3"/>
        </w:rPr>
        <w:t> </w:t>
      </w:r>
      <w:r>
        <w:rPr/>
        <w:t>podrán</w:t>
      </w:r>
      <w:r>
        <w:rPr>
          <w:spacing w:val="-3"/>
        </w:rPr>
        <w:t> </w:t>
      </w:r>
      <w:r>
        <w:rPr/>
        <w:t>no</w:t>
      </w:r>
      <w:r>
        <w:rPr>
          <w:spacing w:val="-4"/>
        </w:rPr>
        <w:t> </w:t>
      </w:r>
      <w:r>
        <w:rPr/>
        <w:t>coordinarse</w:t>
      </w:r>
      <w:r>
        <w:rPr>
          <w:spacing w:val="-3"/>
        </w:rPr>
        <w:t> </w:t>
      </w:r>
      <w:r>
        <w:rPr/>
        <w:t>en</w:t>
      </w:r>
      <w:r>
        <w:rPr>
          <w:spacing w:val="-3"/>
        </w:rPr>
        <w:t> </w:t>
      </w:r>
      <w:r>
        <w:rPr/>
        <w:t>derechos</w:t>
      </w:r>
      <w:r>
        <w:rPr>
          <w:spacing w:val="-1"/>
        </w:rPr>
        <w:t> </w:t>
      </w:r>
      <w:r>
        <w:rPr/>
        <w:t>sin</w:t>
      </w:r>
      <w:r>
        <w:rPr>
          <w:spacing w:val="-3"/>
        </w:rPr>
        <w:t> </w:t>
      </w:r>
      <w:r>
        <w:rPr/>
        <w:t>perjuicio</w:t>
      </w:r>
      <w:r>
        <w:rPr>
          <w:spacing w:val="-3"/>
        </w:rPr>
        <w:t> </w:t>
      </w:r>
      <w:r>
        <w:rPr/>
        <w:t>de</w:t>
      </w:r>
      <w:r>
        <w:rPr>
          <w:spacing w:val="-4"/>
        </w:rPr>
        <w:t> </w:t>
      </w:r>
      <w:r>
        <w:rPr/>
        <w:t>continuar</w:t>
      </w:r>
      <w:r>
        <w:rPr>
          <w:spacing w:val="-2"/>
        </w:rPr>
        <w:t> </w:t>
      </w:r>
      <w:r>
        <w:rPr/>
        <w:t>adheridas al Sistema Nacional de Coordinación Fiscal.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50"/>
        <w:rPr>
          <w:rFonts w:ascii="Times New Roman"/>
          <w:i/>
          <w:sz w:val="16"/>
        </w:rPr>
      </w:pPr>
    </w:p>
    <w:p>
      <w:pPr>
        <w:pStyle w:val="BodyText"/>
        <w:ind w:left="1" w:right="139" w:firstLine="288"/>
        <w:jc w:val="both"/>
      </w:pPr>
      <w:r>
        <w:rPr/>
        <w:t>La Secretaría de Hacienda y Crédito Público hará la declaratoria de las Entidades que no tienen establecido o suspendan el cobro de los derechos a que se refiere el artículo anterior y que, por lo tanto, están coordinadas en esta materia, la cual se publicará en el Periódico Oficial de la Entidad y</w:t>
      </w:r>
      <w:r>
        <w:rPr>
          <w:spacing w:val="-2"/>
        </w:rPr>
        <w:t> </w:t>
      </w:r>
      <w:r>
        <w:rPr/>
        <w:t>en el Diario Oficial de la Federación.</w:t>
      </w:r>
    </w:p>
    <w:p>
      <w:pPr>
        <w:spacing w:line="181" w:lineRule="exact" w:before="0"/>
        <w:ind w:left="703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9"/>
        <w:rPr>
          <w:rFonts w:ascii="Times New Roman"/>
          <w:i/>
          <w:sz w:val="16"/>
        </w:rPr>
      </w:pPr>
    </w:p>
    <w:p>
      <w:pPr>
        <w:pStyle w:val="BodyText"/>
        <w:spacing w:before="1"/>
        <w:ind w:left="1" w:right="142" w:firstLine="288"/>
        <w:jc w:val="both"/>
      </w:pPr>
      <w:r>
        <w:rPr/>
        <w:t>Cuando en la legislación de alguna entidad o municipio se establezcan derechos que contravengan lo dispuesto en el artículo que antecede, la Secretaría de Hacienda y</w:t>
      </w:r>
      <w:r>
        <w:rPr>
          <w:spacing w:val="-2"/>
        </w:rPr>
        <w:t> </w:t>
      </w:r>
      <w:r>
        <w:rPr/>
        <w:t>Crédito Público hará del conocimiento de la entidad de que se trate la violación específica, para que en un plazo de cinco días manifieste lo que a su derecho convenga. Transcurrido dicho plazo la propia Secretaría, en su caso, emitirá la declaratoria correspondiente, misma que se publicará en el Diario Oficial de la Federación y empezará a regir a partir del día siguiente al de su publicación, quedando sin efectos la coordinación en materia de derechos en esta</w:t>
      </w:r>
      <w:r>
        <w:rPr>
          <w:spacing w:val="-1"/>
        </w:rPr>
        <w:t> </w:t>
      </w:r>
      <w:r>
        <w:rPr/>
        <w:t>última</w:t>
      </w:r>
      <w:r>
        <w:rPr>
          <w:spacing w:val="-3"/>
        </w:rPr>
        <w:t> </w:t>
      </w:r>
      <w:r>
        <w:rPr/>
        <w:t>fecha.</w:t>
      </w:r>
      <w:r>
        <w:rPr>
          <w:spacing w:val="-1"/>
        </w:rPr>
        <w:t> </w:t>
      </w:r>
      <w:r>
        <w:rPr/>
        <w:t>En</w:t>
      </w:r>
      <w:r>
        <w:rPr>
          <w:spacing w:val="-1"/>
        </w:rPr>
        <w:t> </w:t>
      </w:r>
      <w:r>
        <w:rPr/>
        <w:t>el</w:t>
      </w:r>
      <w:r>
        <w:rPr>
          <w:spacing w:val="-2"/>
        </w:rPr>
        <w:t> </w:t>
      </w:r>
      <w:r>
        <w:rPr/>
        <w:t>caso</w:t>
      </w:r>
      <w:r>
        <w:rPr>
          <w:spacing w:val="-1"/>
        </w:rPr>
        <w:t> </w:t>
      </w:r>
      <w:r>
        <w:rPr/>
        <w:t>de</w:t>
      </w:r>
      <w:r>
        <w:rPr>
          <w:spacing w:val="-2"/>
        </w:rPr>
        <w:t> </w:t>
      </w:r>
      <w:r>
        <w:rPr/>
        <w:t>que</w:t>
      </w:r>
      <w:r>
        <w:rPr>
          <w:spacing w:val="-1"/>
        </w:rPr>
        <w:t> </w:t>
      </w:r>
      <w:r>
        <w:rPr/>
        <w:t>el</w:t>
      </w:r>
      <w:r>
        <w:rPr>
          <w:spacing w:val="-2"/>
        </w:rPr>
        <w:t> </w:t>
      </w:r>
      <w:r>
        <w:rPr/>
        <w:t>Estado</w:t>
      </w:r>
      <w:r>
        <w:rPr>
          <w:spacing w:val="-2"/>
        </w:rPr>
        <w:t> </w:t>
      </w:r>
      <w:r>
        <w:rPr/>
        <w:t>esté inconforme</w:t>
      </w:r>
      <w:r>
        <w:rPr>
          <w:spacing w:val="-1"/>
        </w:rPr>
        <w:t> </w:t>
      </w:r>
      <w:r>
        <w:rPr/>
        <w:t>con</w:t>
      </w:r>
      <w:r>
        <w:rPr>
          <w:spacing w:val="-2"/>
        </w:rPr>
        <w:t> </w:t>
      </w:r>
      <w:r>
        <w:rPr/>
        <w:t>esta declaratoria,</w:t>
      </w:r>
      <w:r>
        <w:rPr>
          <w:spacing w:val="-1"/>
        </w:rPr>
        <w:t> </w:t>
      </w:r>
      <w:r>
        <w:rPr/>
        <w:t>podrá</w:t>
      </w:r>
      <w:r>
        <w:rPr>
          <w:spacing w:val="-1"/>
        </w:rPr>
        <w:t> </w:t>
      </w:r>
      <w:r>
        <w:rPr/>
        <w:t>acudir ante</w:t>
      </w:r>
      <w:r>
        <w:rPr>
          <w:spacing w:val="-1"/>
        </w:rPr>
        <w:t> </w:t>
      </w:r>
      <w:r>
        <w:rPr/>
        <w:t>la Suprema Corte de Justicia de la Nación en los términos del artículo 12 de esta Ley.</w:t>
      </w:r>
    </w:p>
    <w:p>
      <w:pPr>
        <w:spacing w:line="240" w:lineRule="auto" w:before="0"/>
        <w:ind w:left="6967" w:right="0" w:firstLine="6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03-12-1993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1981</w:t>
      </w:r>
    </w:p>
    <w:p>
      <w:pPr>
        <w:pStyle w:val="BodyText"/>
        <w:spacing w:before="44"/>
        <w:rPr>
          <w:rFonts w:ascii="Times New Roman"/>
          <w:i/>
          <w:sz w:val="16"/>
        </w:rPr>
      </w:pPr>
    </w:p>
    <w:p>
      <w:pPr>
        <w:pStyle w:val="BodyText"/>
        <w:ind w:left="1" w:right="142" w:firstLine="288"/>
        <w:jc w:val="both"/>
      </w:pPr>
      <w:bookmarkStart w:name="Artículo_10_C" w:id="19"/>
      <w:bookmarkEnd w:id="19"/>
      <w:r>
        <w:rPr/>
      </w:r>
      <w:r>
        <w:rPr>
          <w:rFonts w:ascii="Arial" w:hAnsi="Arial"/>
          <w:b/>
        </w:rPr>
        <w:t>Artículo 10-C.- </w:t>
      </w:r>
      <w:r>
        <w:rPr/>
        <w:t>Las entidades adheridas al Sistema Nacional de Coordinación Fiscal, sin que se considere un incumplimiento de los convenios a que se refiere el artículo 10 de esta Ley ni de lo</w:t>
      </w:r>
      <w:r>
        <w:rPr>
          <w:spacing w:val="40"/>
        </w:rPr>
        <w:t> </w:t>
      </w:r>
      <w:r>
        <w:rPr/>
        <w:t>dispuesto en el artículo 41 de la Ley del Impuesto al Valor Agregado, y en adición a los impuestos a que hace referencia el artículo 43 de este último ordenamiento, podrán establecer impuestos locales a la</w:t>
      </w:r>
      <w:r>
        <w:rPr>
          <w:spacing w:val="40"/>
        </w:rPr>
        <w:t> </w:t>
      </w:r>
      <w:r>
        <w:rPr/>
        <w:t>venta o consumo final de los bienes cuya enajenación se encuentre gravada por la Ley del Impuesto Especial sobre Producción y Servicios, siempre que no se trate de bienes cuyo gravamen se encuentre reservado a la Federación, dicha venta o consumo final se realice dentro del territorio de la entidad de</w:t>
      </w:r>
      <w:r>
        <w:rPr>
          <w:spacing w:val="40"/>
        </w:rPr>
        <w:t> </w:t>
      </w:r>
      <w:r>
        <w:rPr/>
        <w:t>que se trate y se cumplan los requisitos siguientes:</w:t>
      </w:r>
    </w:p>
    <w:p>
      <w:pPr>
        <w:pStyle w:val="ListParagraph"/>
        <w:numPr>
          <w:ilvl w:val="0"/>
          <w:numId w:val="4"/>
        </w:numPr>
        <w:tabs>
          <w:tab w:pos="1172" w:val="left" w:leader="none"/>
        </w:tabs>
        <w:spacing w:line="240" w:lineRule="auto" w:before="229" w:after="0"/>
        <w:ind w:left="1172" w:right="0" w:hanging="811"/>
        <w:jc w:val="left"/>
        <w:rPr>
          <w:sz w:val="20"/>
        </w:rPr>
      </w:pPr>
      <w:r>
        <w:rPr>
          <w:sz w:val="20"/>
        </w:rPr>
        <w:t>No</w:t>
      </w:r>
      <w:r>
        <w:rPr>
          <w:spacing w:val="-9"/>
          <w:sz w:val="20"/>
        </w:rPr>
        <w:t> </w:t>
      </w:r>
      <w:r>
        <w:rPr>
          <w:sz w:val="20"/>
        </w:rPr>
        <w:t>se</w:t>
      </w:r>
      <w:r>
        <w:rPr>
          <w:spacing w:val="-9"/>
          <w:sz w:val="20"/>
        </w:rPr>
        <w:t> </w:t>
      </w:r>
      <w:r>
        <w:rPr>
          <w:sz w:val="20"/>
        </w:rPr>
        <w:t>establezcan</w:t>
      </w:r>
      <w:r>
        <w:rPr>
          <w:spacing w:val="-8"/>
          <w:sz w:val="20"/>
        </w:rPr>
        <w:t> </w:t>
      </w:r>
      <w:r>
        <w:rPr>
          <w:sz w:val="20"/>
        </w:rPr>
        <w:t>tratamientos</w:t>
      </w:r>
      <w:r>
        <w:rPr>
          <w:spacing w:val="-8"/>
          <w:sz w:val="20"/>
        </w:rPr>
        <w:t> </w:t>
      </w:r>
      <w:r>
        <w:rPr>
          <w:sz w:val="20"/>
        </w:rPr>
        <w:t>especiales</w:t>
      </w:r>
      <w:r>
        <w:rPr>
          <w:spacing w:val="-7"/>
          <w:sz w:val="20"/>
        </w:rPr>
        <w:t> </w:t>
      </w:r>
      <w:r>
        <w:rPr>
          <w:sz w:val="20"/>
        </w:rPr>
        <w:t>de</w:t>
      </w:r>
      <w:r>
        <w:rPr>
          <w:spacing w:val="-8"/>
          <w:sz w:val="20"/>
        </w:rPr>
        <w:t> </w:t>
      </w:r>
      <w:r>
        <w:rPr>
          <w:sz w:val="20"/>
        </w:rPr>
        <w:t>ningún</w:t>
      </w:r>
      <w:r>
        <w:rPr>
          <w:spacing w:val="-9"/>
          <w:sz w:val="20"/>
        </w:rPr>
        <w:t> </w:t>
      </w:r>
      <w:r>
        <w:rPr>
          <w:spacing w:val="-4"/>
          <w:sz w:val="20"/>
        </w:rPr>
        <w:t>tipo.</w:t>
      </w:r>
    </w:p>
    <w:p>
      <w:pPr>
        <w:pStyle w:val="BodyText"/>
        <w:spacing w:before="1"/>
      </w:pPr>
    </w:p>
    <w:p>
      <w:pPr>
        <w:pStyle w:val="ListParagraph"/>
        <w:numPr>
          <w:ilvl w:val="0"/>
          <w:numId w:val="4"/>
        </w:numPr>
        <w:tabs>
          <w:tab w:pos="1172" w:val="left" w:leader="none"/>
        </w:tabs>
        <w:spacing w:line="240" w:lineRule="auto" w:before="0" w:after="0"/>
        <w:ind w:left="1172" w:right="0" w:hanging="811"/>
        <w:jc w:val="left"/>
        <w:rPr>
          <w:sz w:val="20"/>
        </w:rPr>
      </w:pPr>
      <w:r>
        <w:rPr>
          <w:sz w:val="20"/>
        </w:rPr>
        <w:t>La</w:t>
      </w:r>
      <w:r>
        <w:rPr>
          <w:spacing w:val="-8"/>
          <w:sz w:val="20"/>
        </w:rPr>
        <w:t> </w:t>
      </w:r>
      <w:r>
        <w:rPr>
          <w:sz w:val="20"/>
        </w:rPr>
        <w:t>tasa</w:t>
      </w:r>
      <w:r>
        <w:rPr>
          <w:spacing w:val="-4"/>
          <w:sz w:val="20"/>
        </w:rPr>
        <w:t> </w:t>
      </w:r>
      <w:r>
        <w:rPr>
          <w:sz w:val="20"/>
        </w:rPr>
        <w:t>única</w:t>
      </w:r>
      <w:r>
        <w:rPr>
          <w:spacing w:val="-5"/>
          <w:sz w:val="20"/>
        </w:rPr>
        <w:t> </w:t>
      </w:r>
      <w:r>
        <w:rPr>
          <w:sz w:val="20"/>
        </w:rPr>
        <w:t>aplicable</w:t>
      </w:r>
      <w:r>
        <w:rPr>
          <w:spacing w:val="-6"/>
          <w:sz w:val="20"/>
        </w:rPr>
        <w:t> </w:t>
      </w:r>
      <w:r>
        <w:rPr>
          <w:sz w:val="20"/>
        </w:rPr>
        <w:t>sea</w:t>
      </w:r>
      <w:r>
        <w:rPr>
          <w:spacing w:val="-5"/>
          <w:sz w:val="20"/>
        </w:rPr>
        <w:t> </w:t>
      </w:r>
      <w:r>
        <w:rPr>
          <w:sz w:val="20"/>
        </w:rPr>
        <w:t>del</w:t>
      </w:r>
      <w:r>
        <w:rPr>
          <w:spacing w:val="-5"/>
          <w:sz w:val="20"/>
        </w:rPr>
        <w:t> </w:t>
      </w:r>
      <w:r>
        <w:rPr>
          <w:sz w:val="20"/>
        </w:rPr>
        <w:t>4.5%</w:t>
      </w:r>
      <w:r>
        <w:rPr>
          <w:spacing w:val="-3"/>
          <w:sz w:val="20"/>
        </w:rPr>
        <w:t> </w:t>
      </w:r>
      <w:r>
        <w:rPr>
          <w:sz w:val="20"/>
        </w:rPr>
        <w:t>sobre</w:t>
      </w:r>
      <w:r>
        <w:rPr>
          <w:spacing w:val="-5"/>
          <w:sz w:val="20"/>
        </w:rPr>
        <w:t> </w:t>
      </w:r>
      <w:r>
        <w:rPr>
          <w:sz w:val="20"/>
        </w:rPr>
        <w:t>el</w:t>
      </w:r>
      <w:r>
        <w:rPr>
          <w:spacing w:val="-5"/>
          <w:sz w:val="20"/>
        </w:rPr>
        <w:t> </w:t>
      </w:r>
      <w:r>
        <w:rPr>
          <w:sz w:val="20"/>
        </w:rPr>
        <w:t>precio</w:t>
      </w:r>
      <w:r>
        <w:rPr>
          <w:spacing w:val="-4"/>
          <w:sz w:val="20"/>
        </w:rPr>
        <w:t> </w:t>
      </w:r>
      <w:r>
        <w:rPr>
          <w:sz w:val="20"/>
        </w:rPr>
        <w:t>de</w:t>
      </w:r>
      <w:r>
        <w:rPr>
          <w:spacing w:val="-7"/>
          <w:sz w:val="20"/>
        </w:rPr>
        <w:t> </w:t>
      </w:r>
      <w:r>
        <w:rPr>
          <w:sz w:val="20"/>
        </w:rPr>
        <w:t>enajenación</w:t>
      </w:r>
      <w:r>
        <w:rPr>
          <w:spacing w:val="-5"/>
          <w:sz w:val="20"/>
        </w:rPr>
        <w:t> </w:t>
      </w:r>
      <w:r>
        <w:rPr>
          <w:sz w:val="20"/>
        </w:rPr>
        <w:t>del</w:t>
      </w:r>
      <w:r>
        <w:rPr>
          <w:spacing w:val="-5"/>
          <w:sz w:val="20"/>
        </w:rPr>
        <w:t> </w:t>
      </w:r>
      <w:r>
        <w:rPr>
          <w:sz w:val="20"/>
        </w:rPr>
        <w:t>bien</w:t>
      </w:r>
      <w:r>
        <w:rPr>
          <w:spacing w:val="-5"/>
          <w:sz w:val="20"/>
        </w:rPr>
        <w:t> </w:t>
      </w:r>
      <w:r>
        <w:rPr>
          <w:sz w:val="20"/>
        </w:rPr>
        <w:t>de</w:t>
      </w:r>
      <w:r>
        <w:rPr>
          <w:spacing w:val="-8"/>
          <w:sz w:val="20"/>
        </w:rPr>
        <w:t> </w:t>
      </w:r>
      <w:r>
        <w:rPr>
          <w:sz w:val="20"/>
        </w:rPr>
        <w:t>que</w:t>
      </w:r>
      <w:r>
        <w:rPr>
          <w:spacing w:val="-7"/>
          <w:sz w:val="20"/>
        </w:rPr>
        <w:t> </w:t>
      </w:r>
      <w:r>
        <w:rPr>
          <w:sz w:val="20"/>
        </w:rPr>
        <w:t>se</w:t>
      </w:r>
      <w:r>
        <w:rPr>
          <w:spacing w:val="-6"/>
          <w:sz w:val="20"/>
        </w:rPr>
        <w:t> </w:t>
      </w:r>
      <w:r>
        <w:rPr>
          <w:spacing w:val="-2"/>
          <w:sz w:val="20"/>
        </w:rPr>
        <w:t>trate.</w:t>
      </w:r>
    </w:p>
    <w:p>
      <w:pPr>
        <w:pStyle w:val="ListParagraph"/>
        <w:numPr>
          <w:ilvl w:val="0"/>
          <w:numId w:val="4"/>
        </w:numPr>
        <w:tabs>
          <w:tab w:pos="1172" w:val="left" w:leader="none"/>
        </w:tabs>
        <w:spacing w:line="240" w:lineRule="auto" w:before="229" w:after="0"/>
        <w:ind w:left="1172" w:right="0" w:hanging="811"/>
        <w:jc w:val="left"/>
        <w:rPr>
          <w:sz w:val="20"/>
        </w:rPr>
      </w:pPr>
      <w:r>
        <w:rPr>
          <w:sz w:val="20"/>
        </w:rPr>
        <w:t>La</w:t>
      </w:r>
      <w:r>
        <w:rPr>
          <w:spacing w:val="-8"/>
          <w:sz w:val="20"/>
        </w:rPr>
        <w:t> </w:t>
      </w:r>
      <w:r>
        <w:rPr>
          <w:sz w:val="20"/>
        </w:rPr>
        <w:t>base</w:t>
      </w:r>
      <w:r>
        <w:rPr>
          <w:spacing w:val="-6"/>
          <w:sz w:val="20"/>
        </w:rPr>
        <w:t> </w:t>
      </w:r>
      <w:r>
        <w:rPr>
          <w:sz w:val="20"/>
        </w:rPr>
        <w:t>no</w:t>
      </w:r>
      <w:r>
        <w:rPr>
          <w:spacing w:val="-5"/>
          <w:sz w:val="20"/>
        </w:rPr>
        <w:t> </w:t>
      </w:r>
      <w:r>
        <w:rPr>
          <w:sz w:val="20"/>
        </w:rPr>
        <w:t>incluya</w:t>
      </w:r>
      <w:r>
        <w:rPr>
          <w:spacing w:val="-5"/>
          <w:sz w:val="20"/>
        </w:rPr>
        <w:t> </w:t>
      </w:r>
      <w:r>
        <w:rPr>
          <w:sz w:val="20"/>
        </w:rPr>
        <w:t>los</w:t>
      </w:r>
      <w:r>
        <w:rPr>
          <w:spacing w:val="-5"/>
          <w:sz w:val="20"/>
        </w:rPr>
        <w:t> </w:t>
      </w:r>
      <w:r>
        <w:rPr>
          <w:sz w:val="20"/>
        </w:rPr>
        <w:t>impuestos</w:t>
      </w:r>
      <w:r>
        <w:rPr>
          <w:spacing w:val="-6"/>
          <w:sz w:val="20"/>
        </w:rPr>
        <w:t> </w:t>
      </w:r>
      <w:r>
        <w:rPr>
          <w:sz w:val="20"/>
        </w:rPr>
        <w:t>al</w:t>
      </w:r>
      <w:r>
        <w:rPr>
          <w:spacing w:val="-7"/>
          <w:sz w:val="20"/>
        </w:rPr>
        <w:t> </w:t>
      </w:r>
      <w:r>
        <w:rPr>
          <w:sz w:val="20"/>
        </w:rPr>
        <w:t>valor</w:t>
      </w:r>
      <w:r>
        <w:rPr>
          <w:spacing w:val="-6"/>
          <w:sz w:val="20"/>
        </w:rPr>
        <w:t> </w:t>
      </w:r>
      <w:r>
        <w:rPr>
          <w:sz w:val="20"/>
        </w:rPr>
        <w:t>agregado</w:t>
      </w:r>
      <w:r>
        <w:rPr>
          <w:spacing w:val="-7"/>
          <w:sz w:val="20"/>
        </w:rPr>
        <w:t> </w:t>
      </w:r>
      <w:r>
        <w:rPr>
          <w:sz w:val="20"/>
        </w:rPr>
        <w:t>ni</w:t>
      </w:r>
      <w:r>
        <w:rPr>
          <w:spacing w:val="-5"/>
          <w:sz w:val="20"/>
        </w:rPr>
        <w:t> </w:t>
      </w:r>
      <w:r>
        <w:rPr>
          <w:sz w:val="20"/>
        </w:rPr>
        <w:t>especial</w:t>
      </w:r>
      <w:r>
        <w:rPr>
          <w:spacing w:val="-8"/>
          <w:sz w:val="20"/>
        </w:rPr>
        <w:t> </w:t>
      </w:r>
      <w:r>
        <w:rPr>
          <w:sz w:val="20"/>
        </w:rPr>
        <w:t>sobre</w:t>
      </w:r>
      <w:r>
        <w:rPr>
          <w:spacing w:val="-6"/>
          <w:sz w:val="20"/>
        </w:rPr>
        <w:t> </w:t>
      </w:r>
      <w:r>
        <w:rPr>
          <w:sz w:val="20"/>
        </w:rPr>
        <w:t>producción</w:t>
      </w:r>
      <w:r>
        <w:rPr>
          <w:spacing w:val="-3"/>
          <w:sz w:val="20"/>
        </w:rPr>
        <w:t> </w:t>
      </w:r>
      <w:r>
        <w:rPr>
          <w:sz w:val="20"/>
        </w:rPr>
        <w:t>y</w:t>
      </w:r>
      <w:r>
        <w:rPr>
          <w:spacing w:val="-9"/>
          <w:sz w:val="20"/>
        </w:rPr>
        <w:t> </w:t>
      </w:r>
      <w:r>
        <w:rPr>
          <w:spacing w:val="-2"/>
          <w:sz w:val="20"/>
        </w:rPr>
        <w:t>servicios.</w:t>
      </w:r>
    </w:p>
    <w:p>
      <w:pPr>
        <w:pStyle w:val="BodyText"/>
        <w:spacing w:before="1"/>
      </w:pPr>
    </w:p>
    <w:p>
      <w:pPr>
        <w:pStyle w:val="ListParagraph"/>
        <w:numPr>
          <w:ilvl w:val="0"/>
          <w:numId w:val="4"/>
        </w:numPr>
        <w:tabs>
          <w:tab w:pos="1172" w:val="left" w:leader="none"/>
        </w:tabs>
        <w:spacing w:line="240" w:lineRule="auto" w:before="0" w:after="0"/>
        <w:ind w:left="1172" w:right="0" w:hanging="811"/>
        <w:jc w:val="left"/>
        <w:rPr>
          <w:sz w:val="20"/>
        </w:rPr>
      </w:pPr>
      <w:r>
        <w:rPr>
          <w:sz w:val="20"/>
        </w:rPr>
        <w:t>El</w:t>
      </w:r>
      <w:r>
        <w:rPr>
          <w:spacing w:val="-7"/>
          <w:sz w:val="20"/>
        </w:rPr>
        <w:t> </w:t>
      </w:r>
      <w:r>
        <w:rPr>
          <w:sz w:val="20"/>
        </w:rPr>
        <w:t>impuesto</w:t>
      </w:r>
      <w:r>
        <w:rPr>
          <w:spacing w:val="-7"/>
          <w:sz w:val="20"/>
        </w:rPr>
        <w:t> </w:t>
      </w:r>
      <w:r>
        <w:rPr>
          <w:sz w:val="20"/>
        </w:rPr>
        <w:t>no</w:t>
      </w:r>
      <w:r>
        <w:rPr>
          <w:spacing w:val="-8"/>
          <w:sz w:val="20"/>
        </w:rPr>
        <w:t> </w:t>
      </w:r>
      <w:r>
        <w:rPr>
          <w:sz w:val="20"/>
        </w:rPr>
        <w:t>sea</w:t>
      </w:r>
      <w:r>
        <w:rPr>
          <w:spacing w:val="-7"/>
          <w:sz w:val="20"/>
        </w:rPr>
        <w:t> </w:t>
      </w:r>
      <w:r>
        <w:rPr>
          <w:sz w:val="20"/>
        </w:rPr>
        <w:t>acreditable</w:t>
      </w:r>
      <w:r>
        <w:rPr>
          <w:spacing w:val="-7"/>
          <w:sz w:val="20"/>
        </w:rPr>
        <w:t> </w:t>
      </w:r>
      <w:r>
        <w:rPr>
          <w:sz w:val="20"/>
        </w:rPr>
        <w:t>contra</w:t>
      </w:r>
      <w:r>
        <w:rPr>
          <w:spacing w:val="-5"/>
          <w:sz w:val="20"/>
        </w:rPr>
        <w:t> </w:t>
      </w:r>
      <w:r>
        <w:rPr>
          <w:sz w:val="20"/>
        </w:rPr>
        <w:t>otros</w:t>
      </w:r>
      <w:r>
        <w:rPr>
          <w:spacing w:val="-6"/>
          <w:sz w:val="20"/>
        </w:rPr>
        <w:t> </w:t>
      </w:r>
      <w:r>
        <w:rPr>
          <w:sz w:val="20"/>
        </w:rPr>
        <w:t>impuestos</w:t>
      </w:r>
      <w:r>
        <w:rPr>
          <w:spacing w:val="-6"/>
          <w:sz w:val="20"/>
        </w:rPr>
        <w:t> </w:t>
      </w:r>
      <w:r>
        <w:rPr>
          <w:sz w:val="20"/>
        </w:rPr>
        <w:t>locales</w:t>
      </w:r>
      <w:r>
        <w:rPr>
          <w:spacing w:val="-6"/>
          <w:sz w:val="20"/>
        </w:rPr>
        <w:t> </w:t>
      </w:r>
      <w:r>
        <w:rPr>
          <w:sz w:val="20"/>
        </w:rPr>
        <w:t>o</w:t>
      </w:r>
      <w:r>
        <w:rPr>
          <w:spacing w:val="-8"/>
          <w:sz w:val="20"/>
        </w:rPr>
        <w:t> </w:t>
      </w:r>
      <w:r>
        <w:rPr>
          <w:spacing w:val="-2"/>
          <w:sz w:val="20"/>
        </w:rPr>
        <w:t>federales.</w:t>
      </w:r>
    </w:p>
    <w:p>
      <w:pPr>
        <w:pStyle w:val="BodyText"/>
      </w:pPr>
    </w:p>
    <w:p>
      <w:pPr>
        <w:pStyle w:val="ListParagraph"/>
        <w:numPr>
          <w:ilvl w:val="0"/>
          <w:numId w:val="4"/>
        </w:numPr>
        <w:tabs>
          <w:tab w:pos="1173" w:val="left" w:leader="none"/>
        </w:tabs>
        <w:spacing w:line="240" w:lineRule="auto" w:before="1" w:after="0"/>
        <w:ind w:left="1173" w:right="143" w:hanging="812"/>
        <w:jc w:val="both"/>
        <w:rPr>
          <w:sz w:val="20"/>
        </w:rPr>
      </w:pPr>
      <w:r>
        <w:rPr>
          <w:sz w:val="20"/>
        </w:rPr>
        <w:t>No se traslade en forma expresa y por separado el impuesto a las personas que adquieran los bienes.</w:t>
      </w:r>
      <w:r>
        <w:rPr>
          <w:spacing w:val="-1"/>
          <w:sz w:val="20"/>
        </w:rPr>
        <w:t> </w:t>
      </w:r>
      <w:r>
        <w:rPr>
          <w:sz w:val="20"/>
        </w:rPr>
        <w:t>El</w:t>
      </w:r>
      <w:r>
        <w:rPr>
          <w:spacing w:val="-2"/>
          <w:sz w:val="20"/>
        </w:rPr>
        <w:t> </w:t>
      </w:r>
      <w:r>
        <w:rPr>
          <w:sz w:val="20"/>
        </w:rPr>
        <w:t>traslado</w:t>
      </w:r>
      <w:r>
        <w:rPr>
          <w:spacing w:val="-2"/>
          <w:sz w:val="20"/>
        </w:rPr>
        <w:t> </w:t>
      </w:r>
      <w:r>
        <w:rPr>
          <w:sz w:val="20"/>
        </w:rPr>
        <w:t>del</w:t>
      </w:r>
      <w:r>
        <w:rPr>
          <w:spacing w:val="-2"/>
          <w:sz w:val="20"/>
        </w:rPr>
        <w:t> </w:t>
      </w:r>
      <w:r>
        <w:rPr>
          <w:sz w:val="20"/>
        </w:rPr>
        <w:t>impuesto</w:t>
      </w:r>
      <w:r>
        <w:rPr>
          <w:spacing w:val="-1"/>
          <w:sz w:val="20"/>
        </w:rPr>
        <w:t> </w:t>
      </w:r>
      <w:r>
        <w:rPr>
          <w:sz w:val="20"/>
        </w:rPr>
        <w:t>deberá</w:t>
      </w:r>
      <w:r>
        <w:rPr>
          <w:spacing w:val="-1"/>
          <w:sz w:val="20"/>
        </w:rPr>
        <w:t> </w:t>
      </w:r>
      <w:r>
        <w:rPr>
          <w:sz w:val="20"/>
        </w:rPr>
        <w:t>incluirse</w:t>
      </w:r>
      <w:r>
        <w:rPr>
          <w:spacing w:val="-1"/>
          <w:sz w:val="20"/>
        </w:rPr>
        <w:t> </w:t>
      </w:r>
      <w:r>
        <w:rPr>
          <w:sz w:val="20"/>
        </w:rPr>
        <w:t>en</w:t>
      </w:r>
      <w:r>
        <w:rPr>
          <w:spacing w:val="-2"/>
          <w:sz w:val="20"/>
        </w:rPr>
        <w:t> </w:t>
      </w:r>
      <w:r>
        <w:rPr>
          <w:sz w:val="20"/>
        </w:rPr>
        <w:t>el</w:t>
      </w:r>
      <w:r>
        <w:rPr>
          <w:spacing w:val="-2"/>
          <w:sz w:val="20"/>
        </w:rPr>
        <w:t> </w:t>
      </w:r>
      <w:r>
        <w:rPr>
          <w:sz w:val="20"/>
        </w:rPr>
        <w:t>precio</w:t>
      </w:r>
      <w:r>
        <w:rPr>
          <w:spacing w:val="-1"/>
          <w:sz w:val="20"/>
        </w:rPr>
        <w:t> </w:t>
      </w:r>
      <w:r>
        <w:rPr>
          <w:sz w:val="20"/>
        </w:rPr>
        <w:t>correspondiente,</w:t>
      </w:r>
      <w:r>
        <w:rPr>
          <w:spacing w:val="-1"/>
          <w:sz w:val="20"/>
        </w:rPr>
        <w:t> </w:t>
      </w:r>
      <w:r>
        <w:rPr>
          <w:sz w:val="20"/>
        </w:rPr>
        <w:t>sin</w:t>
      </w:r>
      <w:r>
        <w:rPr>
          <w:spacing w:val="-1"/>
          <w:sz w:val="20"/>
        </w:rPr>
        <w:t> </w:t>
      </w:r>
      <w:r>
        <w:rPr>
          <w:sz w:val="20"/>
        </w:rPr>
        <w:t>que</w:t>
      </w:r>
      <w:r>
        <w:rPr>
          <w:spacing w:val="-1"/>
          <w:sz w:val="20"/>
        </w:rPr>
        <w:t> </w:t>
      </w:r>
      <w:r>
        <w:rPr>
          <w:sz w:val="20"/>
        </w:rPr>
        <w:t>se considere que forma parte del precio de venta al público, ni se entienda violatorio de precios o tarifas, incluyendo los oficiales.</w:t>
      </w:r>
    </w:p>
    <w:p>
      <w:pPr>
        <w:pStyle w:val="ListParagraph"/>
        <w:numPr>
          <w:ilvl w:val="0"/>
          <w:numId w:val="4"/>
        </w:numPr>
        <w:tabs>
          <w:tab w:pos="1171" w:val="left" w:leader="none"/>
          <w:tab w:pos="1173" w:val="left" w:leader="none"/>
        </w:tabs>
        <w:spacing w:line="242" w:lineRule="auto" w:before="229" w:after="0"/>
        <w:ind w:left="1173" w:right="150" w:hanging="812"/>
        <w:jc w:val="both"/>
        <w:rPr>
          <w:sz w:val="20"/>
        </w:rPr>
      </w:pPr>
      <w:r>
        <w:rPr>
          <w:sz w:val="20"/>
        </w:rPr>
        <w:t>El impuesto se cause en el momento en que efectivamente se perciban los ingresos y</w:t>
      </w:r>
      <w:r>
        <w:rPr>
          <w:spacing w:val="-2"/>
          <w:sz w:val="20"/>
        </w:rPr>
        <w:t> </w:t>
      </w:r>
      <w:r>
        <w:rPr>
          <w:sz w:val="20"/>
        </w:rPr>
        <w:t>sobre el monto que de ellos se perciba.</w:t>
      </w:r>
    </w:p>
    <w:p>
      <w:pPr>
        <w:pStyle w:val="ListParagraph"/>
        <w:spacing w:after="0" w:line="242" w:lineRule="auto"/>
        <w:jc w:val="both"/>
        <w:rPr>
          <w:sz w:val="20"/>
        </w:rPr>
        <w:sectPr>
          <w:pgSz w:w="12250" w:h="15850"/>
          <w:pgMar w:header="724" w:footer="712" w:top="1880" w:bottom="900" w:left="1417" w:right="1275"/>
        </w:sectPr>
      </w:pPr>
    </w:p>
    <w:p>
      <w:pPr>
        <w:pStyle w:val="BodyText"/>
        <w:spacing w:before="65"/>
      </w:pPr>
    </w:p>
    <w:p>
      <w:pPr>
        <w:pStyle w:val="ListParagraph"/>
        <w:numPr>
          <w:ilvl w:val="0"/>
          <w:numId w:val="4"/>
        </w:numPr>
        <w:tabs>
          <w:tab w:pos="1172" w:val="left" w:leader="none"/>
        </w:tabs>
        <w:spacing w:line="240" w:lineRule="auto" w:before="0" w:after="0"/>
        <w:ind w:left="1172" w:right="0" w:hanging="811"/>
        <w:jc w:val="left"/>
        <w:rPr>
          <w:sz w:val="20"/>
        </w:rPr>
      </w:pPr>
      <w:r>
        <w:rPr>
          <w:sz w:val="20"/>
        </w:rPr>
        <w:t>El</w:t>
      </w:r>
      <w:r>
        <w:rPr>
          <w:spacing w:val="-4"/>
          <w:sz w:val="20"/>
        </w:rPr>
        <w:t> </w:t>
      </w:r>
      <w:r>
        <w:rPr>
          <w:sz w:val="20"/>
        </w:rPr>
        <w:t>impuesto</w:t>
      </w:r>
      <w:r>
        <w:rPr>
          <w:spacing w:val="-6"/>
          <w:sz w:val="20"/>
        </w:rPr>
        <w:t> </w:t>
      </w:r>
      <w:r>
        <w:rPr>
          <w:sz w:val="20"/>
        </w:rPr>
        <w:t>no</w:t>
      </w:r>
      <w:r>
        <w:rPr>
          <w:spacing w:val="-6"/>
          <w:sz w:val="20"/>
        </w:rPr>
        <w:t> </w:t>
      </w:r>
      <w:r>
        <w:rPr>
          <w:sz w:val="20"/>
        </w:rPr>
        <w:t>se</w:t>
      </w:r>
      <w:r>
        <w:rPr>
          <w:spacing w:val="-2"/>
          <w:sz w:val="20"/>
        </w:rPr>
        <w:t> </w:t>
      </w:r>
      <w:r>
        <w:rPr>
          <w:sz w:val="20"/>
        </w:rPr>
        <w:t>aplique</w:t>
      </w:r>
      <w:r>
        <w:rPr>
          <w:spacing w:val="-2"/>
          <w:sz w:val="20"/>
        </w:rPr>
        <w:t> </w:t>
      </w:r>
      <w:r>
        <w:rPr>
          <w:sz w:val="20"/>
        </w:rPr>
        <w:t>en</w:t>
      </w:r>
      <w:r>
        <w:rPr>
          <w:spacing w:val="-5"/>
          <w:sz w:val="20"/>
        </w:rPr>
        <w:t> </w:t>
      </w:r>
      <w:r>
        <w:rPr>
          <w:sz w:val="20"/>
        </w:rPr>
        <w:t>dos</w:t>
      </w:r>
      <w:r>
        <w:rPr>
          <w:spacing w:val="-4"/>
          <w:sz w:val="20"/>
        </w:rPr>
        <w:t> </w:t>
      </w:r>
      <w:r>
        <w:rPr>
          <w:sz w:val="20"/>
        </w:rPr>
        <w:t>o</w:t>
      </w:r>
      <w:r>
        <w:rPr>
          <w:spacing w:val="-6"/>
          <w:sz w:val="20"/>
        </w:rPr>
        <w:t> </w:t>
      </w:r>
      <w:r>
        <w:rPr>
          <w:sz w:val="20"/>
        </w:rPr>
        <w:t>más</w:t>
      </w:r>
      <w:r>
        <w:rPr>
          <w:spacing w:val="-3"/>
          <w:sz w:val="20"/>
        </w:rPr>
        <w:t> </w:t>
      </w:r>
      <w:r>
        <w:rPr>
          <w:sz w:val="20"/>
        </w:rPr>
        <w:t>etapas</w:t>
      </w:r>
      <w:r>
        <w:rPr>
          <w:spacing w:val="-4"/>
          <w:sz w:val="20"/>
        </w:rPr>
        <w:t> </w:t>
      </w:r>
      <w:r>
        <w:rPr>
          <w:sz w:val="20"/>
        </w:rPr>
        <w:t>del</w:t>
      </w:r>
      <w:r>
        <w:rPr>
          <w:spacing w:val="-4"/>
          <w:sz w:val="20"/>
        </w:rPr>
        <w:t> </w:t>
      </w:r>
      <w:r>
        <w:rPr>
          <w:sz w:val="20"/>
        </w:rPr>
        <w:t>proceso</w:t>
      </w:r>
      <w:r>
        <w:rPr>
          <w:spacing w:val="-5"/>
          <w:sz w:val="20"/>
        </w:rPr>
        <w:t> </w:t>
      </w:r>
      <w:r>
        <w:rPr>
          <w:sz w:val="20"/>
        </w:rPr>
        <w:t>de</w:t>
      </w:r>
      <w:r>
        <w:rPr>
          <w:spacing w:val="-5"/>
          <w:sz w:val="20"/>
        </w:rPr>
        <w:t> </w:t>
      </w:r>
      <w:r>
        <w:rPr>
          <w:spacing w:val="-2"/>
          <w:sz w:val="20"/>
        </w:rPr>
        <w:t>comercialización.</w:t>
      </w:r>
    </w:p>
    <w:p>
      <w:pPr>
        <w:pStyle w:val="BodyText"/>
        <w:spacing w:before="1"/>
      </w:pPr>
    </w:p>
    <w:p>
      <w:pPr>
        <w:pStyle w:val="ListParagraph"/>
        <w:numPr>
          <w:ilvl w:val="0"/>
          <w:numId w:val="4"/>
        </w:numPr>
        <w:tabs>
          <w:tab w:pos="1172" w:val="left" w:leader="none"/>
        </w:tabs>
        <w:spacing w:line="229" w:lineRule="exact" w:before="0" w:after="0"/>
        <w:ind w:left="1172" w:right="0" w:hanging="811"/>
        <w:jc w:val="left"/>
        <w:rPr>
          <w:sz w:val="20"/>
        </w:rPr>
      </w:pPr>
      <w:r>
        <w:rPr>
          <w:sz w:val="20"/>
        </w:rPr>
        <w:t>(Se</w:t>
      </w:r>
      <w:r>
        <w:rPr>
          <w:spacing w:val="-6"/>
          <w:sz w:val="20"/>
        </w:rPr>
        <w:t> </w:t>
      </w:r>
      <w:r>
        <w:rPr>
          <w:spacing w:val="-2"/>
          <w:sz w:val="20"/>
        </w:rPr>
        <w:t>deroga).</w:t>
      </w:r>
    </w:p>
    <w:p>
      <w:pPr>
        <w:spacing w:line="183" w:lineRule="exact" w:before="0"/>
        <w:ind w:left="70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declarada</w:t>
      </w:r>
      <w:r>
        <w:rPr>
          <w:rFonts w:ascii="Times New Roman" w:hAnsi="Times New Roman"/>
          <w:i/>
          <w:color w:val="0000FF"/>
          <w:spacing w:val="-5"/>
          <w:sz w:val="16"/>
        </w:rPr>
        <w:t> </w:t>
      </w:r>
      <w:r>
        <w:rPr>
          <w:rFonts w:ascii="Times New Roman" w:hAnsi="Times New Roman"/>
          <w:i/>
          <w:color w:val="0000FF"/>
          <w:sz w:val="16"/>
        </w:rPr>
        <w:t>inválida</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8"/>
          <w:sz w:val="16"/>
        </w:rPr>
        <w:t> </w:t>
      </w:r>
      <w:r>
        <w:rPr>
          <w:rFonts w:ascii="Times New Roman" w:hAnsi="Times New Roman"/>
          <w:i/>
          <w:color w:val="0000FF"/>
          <w:sz w:val="16"/>
        </w:rPr>
        <w:t>sentencia</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SCJN</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Acción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Inconstitucionalidad</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11-07-2008.</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 w:right="138" w:firstLine="288"/>
        <w:jc w:val="both"/>
      </w:pPr>
      <w:r>
        <w:rPr/>
        <w:t>Las entidades podrán convenir con el Ejecutivo Federal, a través de la Secretaría de Hacienda y Crédito Público, que los impuestos locales que en términos de este artículo, en su caso, establezca la entidad, se paguen en las mismas declaraciones del impuesto sobre la renta identificados por entidad.</w:t>
      </w:r>
    </w:p>
    <w:p>
      <w:pPr>
        <w:pStyle w:val="BodyText"/>
        <w:spacing w:before="229"/>
        <w:ind w:left="1" w:right="148" w:firstLine="288"/>
        <w:jc w:val="both"/>
      </w:pPr>
      <w:r>
        <w:rPr/>
        <w:t>Los municipios recibirán como mínimo el 20% de la recaudación que corresponda a las entidades federativas en términos de este artículo. Tratándose del Distrito Federal, la distribución de dichos</w:t>
      </w:r>
      <w:r>
        <w:rPr>
          <w:spacing w:val="40"/>
        </w:rPr>
        <w:t> </w:t>
      </w:r>
      <w:r>
        <w:rPr/>
        <w:t>recursos se efectuará a sus demarcaciones territoriales.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289"/>
      </w:pPr>
      <w:bookmarkStart w:name="Artículo_10_D" w:id="20"/>
      <w:bookmarkEnd w:id="20"/>
      <w:r>
        <w:rPr/>
      </w:r>
      <w:r>
        <w:rPr>
          <w:rFonts w:ascii="Arial" w:hAnsi="Arial"/>
          <w:b/>
        </w:rPr>
        <w:t>Artículo</w:t>
      </w:r>
      <w:r>
        <w:rPr>
          <w:rFonts w:ascii="Arial" w:hAnsi="Arial"/>
          <w:b/>
          <w:spacing w:val="-6"/>
        </w:rPr>
        <w:t> </w:t>
      </w:r>
      <w:r>
        <w:rPr>
          <w:rFonts w:ascii="Arial" w:hAnsi="Arial"/>
          <w:b/>
        </w:rPr>
        <w:t>10-D.-</w:t>
      </w:r>
      <w:r>
        <w:rPr>
          <w:rFonts w:ascii="Arial" w:hAnsi="Arial"/>
          <w:b/>
          <w:spacing w:val="-4"/>
        </w:rPr>
        <w:t> </w:t>
      </w:r>
      <w:r>
        <w:rPr/>
        <w:t>Para</w:t>
      </w:r>
      <w:r>
        <w:rPr>
          <w:spacing w:val="-5"/>
        </w:rPr>
        <w:t> </w:t>
      </w:r>
      <w:r>
        <w:rPr/>
        <w:t>los</w:t>
      </w:r>
      <w:r>
        <w:rPr>
          <w:spacing w:val="-4"/>
        </w:rPr>
        <w:t> </w:t>
      </w:r>
      <w:r>
        <w:rPr/>
        <w:t>efectos</w:t>
      </w:r>
      <w:r>
        <w:rPr>
          <w:spacing w:val="-4"/>
        </w:rPr>
        <w:t> </w:t>
      </w:r>
      <w:r>
        <w:rPr/>
        <w:t>de</w:t>
      </w:r>
      <w:r>
        <w:rPr>
          <w:spacing w:val="-4"/>
        </w:rPr>
        <w:t> </w:t>
      </w:r>
      <w:r>
        <w:rPr/>
        <w:t>lo</w:t>
      </w:r>
      <w:r>
        <w:rPr>
          <w:spacing w:val="-3"/>
        </w:rPr>
        <w:t> </w:t>
      </w:r>
      <w:r>
        <w:rPr/>
        <w:t>previsto</w:t>
      </w:r>
      <w:r>
        <w:rPr>
          <w:spacing w:val="-3"/>
        </w:rPr>
        <w:t> </w:t>
      </w:r>
      <w:r>
        <w:rPr/>
        <w:t>en</w:t>
      </w:r>
      <w:r>
        <w:rPr>
          <w:spacing w:val="-6"/>
        </w:rPr>
        <w:t> </w:t>
      </w:r>
      <w:r>
        <w:rPr/>
        <w:t>el</w:t>
      </w:r>
      <w:r>
        <w:rPr>
          <w:spacing w:val="-6"/>
        </w:rPr>
        <w:t> </w:t>
      </w:r>
      <w:r>
        <w:rPr/>
        <w:t>artículo</w:t>
      </w:r>
      <w:r>
        <w:rPr>
          <w:spacing w:val="-4"/>
        </w:rPr>
        <w:t> </w:t>
      </w:r>
      <w:r>
        <w:rPr/>
        <w:t>10-C</w:t>
      </w:r>
      <w:r>
        <w:rPr>
          <w:spacing w:val="-5"/>
        </w:rPr>
        <w:t> </w:t>
      </w:r>
      <w:r>
        <w:rPr/>
        <w:t>de</w:t>
      </w:r>
      <w:r>
        <w:rPr>
          <w:spacing w:val="-5"/>
        </w:rPr>
        <w:t> </w:t>
      </w:r>
      <w:r>
        <w:rPr/>
        <w:t>esta</w:t>
      </w:r>
      <w:r>
        <w:rPr>
          <w:spacing w:val="-5"/>
        </w:rPr>
        <w:t> </w:t>
      </w:r>
      <w:r>
        <w:rPr/>
        <w:t>Ley,</w:t>
      </w:r>
      <w:r>
        <w:rPr>
          <w:spacing w:val="-5"/>
        </w:rPr>
        <w:t> </w:t>
      </w:r>
      <w:r>
        <w:rPr/>
        <w:t>se</w:t>
      </w:r>
      <w:r>
        <w:rPr>
          <w:spacing w:val="-1"/>
        </w:rPr>
        <w:t> </w:t>
      </w:r>
      <w:r>
        <w:rPr/>
        <w:t>estará</w:t>
      </w:r>
      <w:r>
        <w:rPr>
          <w:spacing w:val="-5"/>
        </w:rPr>
        <w:t> </w:t>
      </w:r>
      <w:r>
        <w:rPr/>
        <w:t>a</w:t>
      </w:r>
      <w:r>
        <w:rPr>
          <w:spacing w:val="-3"/>
        </w:rPr>
        <w:t> </w:t>
      </w:r>
      <w:r>
        <w:rPr/>
        <w:t>lo</w:t>
      </w:r>
      <w:r>
        <w:rPr>
          <w:spacing w:val="-5"/>
        </w:rPr>
        <w:t> </w:t>
      </w:r>
      <w:r>
        <w:rPr>
          <w:spacing w:val="-2"/>
        </w:rPr>
        <w:t>siguiente:</w:t>
      </w:r>
    </w:p>
    <w:p>
      <w:pPr>
        <w:pStyle w:val="BodyText"/>
        <w:spacing w:before="1"/>
      </w:pPr>
    </w:p>
    <w:p>
      <w:pPr>
        <w:pStyle w:val="ListParagraph"/>
        <w:numPr>
          <w:ilvl w:val="0"/>
          <w:numId w:val="5"/>
        </w:numPr>
        <w:tabs>
          <w:tab w:pos="1173" w:val="left" w:leader="none"/>
        </w:tabs>
        <w:spacing w:line="242" w:lineRule="auto" w:before="0" w:after="0"/>
        <w:ind w:left="1173" w:right="149" w:hanging="812"/>
        <w:jc w:val="both"/>
        <w:rPr>
          <w:sz w:val="20"/>
        </w:rPr>
      </w:pPr>
      <w:r>
        <w:rPr>
          <w:sz w:val="20"/>
        </w:rPr>
        <w:t>Serán aplicables las definiciones establecidas en la Ley del Impuesto Especial sobre Producción y Servicios.</w:t>
      </w:r>
    </w:p>
    <w:p>
      <w:pPr>
        <w:pStyle w:val="ListParagraph"/>
        <w:numPr>
          <w:ilvl w:val="0"/>
          <w:numId w:val="5"/>
        </w:numPr>
        <w:tabs>
          <w:tab w:pos="1173" w:val="left" w:leader="none"/>
        </w:tabs>
        <w:spacing w:line="242" w:lineRule="auto" w:before="224" w:after="0"/>
        <w:ind w:left="1173" w:right="147" w:hanging="812"/>
        <w:jc w:val="both"/>
        <w:rPr>
          <w:sz w:val="20"/>
        </w:rPr>
      </w:pPr>
      <w:r>
        <w:rPr>
          <w:sz w:val="20"/>
        </w:rPr>
        <w:t>Se considerará que la venta o consumo final de los bienes se efectúa en el territorio de una entidad cuando en el mismo se realice la entrega de los mismos por parte del productor, envasador, distribuidor o importador, según sea el caso, para su posterior venta al público</w:t>
      </w:r>
      <w:r>
        <w:rPr>
          <w:spacing w:val="40"/>
          <w:sz w:val="20"/>
        </w:rPr>
        <w:t> </w:t>
      </w:r>
      <w:r>
        <w:rPr>
          <w:sz w:val="20"/>
        </w:rPr>
        <w:t>en general o consumo.</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declarada</w:t>
      </w:r>
      <w:r>
        <w:rPr>
          <w:rFonts w:ascii="Times New Roman" w:hAnsi="Times New Roman"/>
          <w:i/>
          <w:color w:val="0000FF"/>
          <w:spacing w:val="-5"/>
          <w:sz w:val="16"/>
        </w:rPr>
        <w:t> </w:t>
      </w:r>
      <w:r>
        <w:rPr>
          <w:rFonts w:ascii="Times New Roman" w:hAnsi="Times New Roman"/>
          <w:i/>
          <w:color w:val="0000FF"/>
          <w:sz w:val="16"/>
        </w:rPr>
        <w:t>inválida</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8"/>
          <w:sz w:val="16"/>
        </w:rPr>
        <w:t> </w:t>
      </w:r>
      <w:r>
        <w:rPr>
          <w:rFonts w:ascii="Times New Roman" w:hAnsi="Times New Roman"/>
          <w:i/>
          <w:color w:val="0000FF"/>
          <w:sz w:val="16"/>
        </w:rPr>
        <w:t>sentencia</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SCJN</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Acción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Inconstitucionalidad</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11-07-2008.</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09-12-</w:t>
      </w:r>
      <w:r>
        <w:rPr>
          <w:rFonts w:ascii="Times New Roman" w:hAnsi="Times New Roman"/>
          <w:i/>
          <w:color w:val="0000FF"/>
          <w:spacing w:val="-4"/>
          <w:sz w:val="16"/>
        </w:rPr>
        <w:t>2013</w:t>
      </w:r>
    </w:p>
    <w:p>
      <w:pPr>
        <w:spacing w:before="1"/>
        <w:ind w:left="0" w:right="142"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09-12-2013:</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5"/>
        <w:rPr>
          <w:rFonts w:ascii="Times New Roman"/>
          <w:i/>
          <w:sz w:val="16"/>
        </w:rPr>
      </w:pPr>
    </w:p>
    <w:p>
      <w:pPr>
        <w:pStyle w:val="BodyText"/>
        <w:spacing w:line="242" w:lineRule="auto"/>
        <w:ind w:left="1" w:right="149" w:firstLine="288"/>
        <w:jc w:val="both"/>
      </w:pPr>
      <w:bookmarkStart w:name="Artículo_10_E" w:id="21"/>
      <w:bookmarkEnd w:id="21"/>
      <w:r>
        <w:rPr/>
      </w:r>
      <w:r>
        <w:rPr>
          <w:rFonts w:ascii="Arial" w:hAnsi="Arial"/>
          <w:b/>
        </w:rPr>
        <w:t>Artículo 10-E.- </w:t>
      </w:r>
      <w:r>
        <w:rPr/>
        <w:t>Las entidades que estén adheridas al Sistema Nacional de Coordinación Fiscal deberán llevar un registro estatal vehicular, que se integrará con los datos de los vehículos que los contribuyentes inscriban o registren en la circunscripción territorial de cada entidad.</w:t>
      </w:r>
    </w:p>
    <w:p>
      <w:pPr>
        <w:pStyle w:val="BodyText"/>
        <w:spacing w:before="227"/>
        <w:ind w:left="1" w:right="151" w:firstLine="288"/>
        <w:jc w:val="both"/>
      </w:pPr>
      <w:r>
        <w:rPr/>
        <w:t>Los datos de los vehículos y de los contribuyentes que deberá contener el registro estatal vehicular </w:t>
      </w:r>
      <w:r>
        <w:rPr>
          <w:spacing w:val="-2"/>
        </w:rPr>
        <w:t>serán:</w:t>
      </w:r>
    </w:p>
    <w:p>
      <w:pPr>
        <w:pStyle w:val="ListParagraph"/>
        <w:numPr>
          <w:ilvl w:val="0"/>
          <w:numId w:val="6"/>
        </w:numPr>
        <w:tabs>
          <w:tab w:pos="1172" w:val="left" w:leader="none"/>
        </w:tabs>
        <w:spacing w:line="240" w:lineRule="auto" w:before="227" w:after="0"/>
        <w:ind w:left="1172" w:right="0" w:hanging="811"/>
        <w:jc w:val="left"/>
        <w:rPr>
          <w:sz w:val="20"/>
        </w:rPr>
      </w:pPr>
      <w:r>
        <w:rPr>
          <w:sz w:val="20"/>
        </w:rPr>
        <w:t>El</w:t>
      </w:r>
      <w:r>
        <w:rPr>
          <w:spacing w:val="-8"/>
          <w:sz w:val="20"/>
        </w:rPr>
        <w:t> </w:t>
      </w:r>
      <w:r>
        <w:rPr>
          <w:sz w:val="20"/>
        </w:rPr>
        <w:t>número</w:t>
      </w:r>
      <w:r>
        <w:rPr>
          <w:spacing w:val="-8"/>
          <w:sz w:val="20"/>
        </w:rPr>
        <w:t> </w:t>
      </w:r>
      <w:r>
        <w:rPr>
          <w:sz w:val="20"/>
        </w:rPr>
        <w:t>de</w:t>
      </w:r>
      <w:r>
        <w:rPr>
          <w:spacing w:val="-9"/>
          <w:sz w:val="20"/>
        </w:rPr>
        <w:t> </w:t>
      </w:r>
      <w:r>
        <w:rPr>
          <w:sz w:val="20"/>
        </w:rPr>
        <w:t>identificación</w:t>
      </w:r>
      <w:r>
        <w:rPr>
          <w:spacing w:val="-6"/>
          <w:sz w:val="20"/>
        </w:rPr>
        <w:t> </w:t>
      </w:r>
      <w:r>
        <w:rPr>
          <w:spacing w:val="-2"/>
          <w:sz w:val="20"/>
        </w:rPr>
        <w:t>vehicular.</w:t>
      </w:r>
    </w:p>
    <w:p>
      <w:pPr>
        <w:pStyle w:val="BodyText"/>
      </w:pPr>
    </w:p>
    <w:p>
      <w:pPr>
        <w:pStyle w:val="ListParagraph"/>
        <w:numPr>
          <w:ilvl w:val="0"/>
          <w:numId w:val="6"/>
        </w:numPr>
        <w:tabs>
          <w:tab w:pos="1173" w:val="left" w:leader="none"/>
        </w:tabs>
        <w:spacing w:line="242" w:lineRule="auto" w:before="1" w:after="0"/>
        <w:ind w:left="1173" w:right="144" w:hanging="812"/>
        <w:jc w:val="both"/>
        <w:rPr>
          <w:sz w:val="20"/>
        </w:rPr>
      </w:pPr>
      <w:r>
        <w:rPr>
          <w:sz w:val="20"/>
        </w:rPr>
        <w:t>Las características esenciales del vehículo: marca, modelo, año modelo, número de cilindros, origen o procedencia, número de motor, número de chasis y número de placas.</w:t>
      </w:r>
    </w:p>
    <w:p>
      <w:pPr>
        <w:pStyle w:val="ListParagraph"/>
        <w:numPr>
          <w:ilvl w:val="0"/>
          <w:numId w:val="6"/>
        </w:numPr>
        <w:tabs>
          <w:tab w:pos="1173" w:val="left" w:leader="none"/>
        </w:tabs>
        <w:spacing w:line="242" w:lineRule="auto" w:before="224" w:after="0"/>
        <w:ind w:left="1173" w:right="151" w:hanging="812"/>
        <w:jc w:val="both"/>
        <w:rPr>
          <w:sz w:val="20"/>
        </w:rPr>
      </w:pPr>
      <w:r>
        <w:rPr>
          <w:sz w:val="20"/>
        </w:rPr>
        <w:t>El nombre, denominación o razón social, domicilio del propietario y, en su caso, el Registro Federal de Contribuyentes.</w:t>
      </w:r>
    </w:p>
    <w:p>
      <w:pPr>
        <w:pStyle w:val="BodyText"/>
        <w:spacing w:before="230"/>
        <w:ind w:left="1" w:right="146" w:firstLine="288"/>
        <w:jc w:val="both"/>
      </w:pPr>
      <w:r>
        <w:rPr/>
        <w:t>Para efecto</w:t>
      </w:r>
      <w:r>
        <w:rPr>
          <w:spacing w:val="-1"/>
        </w:rPr>
        <w:t> </w:t>
      </w:r>
      <w:r>
        <w:rPr/>
        <w:t>de intercambio de información,</w:t>
      </w:r>
      <w:r>
        <w:rPr>
          <w:spacing w:val="-1"/>
        </w:rPr>
        <w:t> </w:t>
      </w:r>
      <w:r>
        <w:rPr/>
        <w:t>el</w:t>
      </w:r>
      <w:r>
        <w:rPr>
          <w:spacing w:val="-2"/>
        </w:rPr>
        <w:t> </w:t>
      </w:r>
      <w:r>
        <w:rPr/>
        <w:t>registro estatal vehicular estará</w:t>
      </w:r>
      <w:r>
        <w:rPr>
          <w:spacing w:val="-1"/>
        </w:rPr>
        <w:t> </w:t>
      </w:r>
      <w:r>
        <w:rPr/>
        <w:t>enlazado a los medios o sistemas de la Secretaría de Hacienda y Crédito Público que se determinen mediante disposiciones de carácter general.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1" w:right="140" w:firstLine="288"/>
        <w:jc w:val="both"/>
      </w:pPr>
      <w:bookmarkStart w:name="Artículo_11" w:id="22"/>
      <w:bookmarkEnd w:id="22"/>
      <w:r>
        <w:rPr/>
      </w:r>
      <w:r>
        <w:rPr>
          <w:rFonts w:ascii="Arial" w:hAnsi="Arial"/>
          <w:b/>
        </w:rPr>
        <w:t>Artículo 11.- </w:t>
      </w:r>
      <w:r>
        <w:rPr/>
        <w:t>Cuando alguna entidad que se hubiera adherido al Sistema Nacional de Coordinación Fiscal viole lo previsto por los artículos 73 fracción XXIX, 117 fracciones IV a VII y IX o 118 fracción I, de la Constitución Política de los Estados Unidos Mexicanos o falte al cumplimiento del o de los convenios celebrados con la Secretaría de Hacienda y Crédito Público, ésta, oyendo a la entidad afectada y</w:t>
      </w:r>
      <w:r>
        <w:rPr>
          <w:spacing w:val="40"/>
        </w:rPr>
        <w:t> </w:t>
      </w:r>
      <w:r>
        <w:rPr/>
        <w:t>teniendo en cuenta el dictamen técnico que formule la Comisión Permanente de Funcionarios Fiscales, podrá</w:t>
      </w:r>
      <w:r>
        <w:rPr>
          <w:spacing w:val="25"/>
        </w:rPr>
        <w:t> </w:t>
      </w:r>
      <w:r>
        <w:rPr/>
        <w:t>disminuir</w:t>
      </w:r>
      <w:r>
        <w:rPr>
          <w:spacing w:val="26"/>
        </w:rPr>
        <w:t> </w:t>
      </w:r>
      <w:r>
        <w:rPr/>
        <w:t>las</w:t>
      </w:r>
      <w:r>
        <w:rPr>
          <w:spacing w:val="24"/>
        </w:rPr>
        <w:t> </w:t>
      </w:r>
      <w:r>
        <w:rPr/>
        <w:t>participaciones</w:t>
      </w:r>
      <w:r>
        <w:rPr>
          <w:spacing w:val="24"/>
        </w:rPr>
        <w:t> </w:t>
      </w:r>
      <w:r>
        <w:rPr/>
        <w:t>de</w:t>
      </w:r>
      <w:r>
        <w:rPr>
          <w:spacing w:val="23"/>
        </w:rPr>
        <w:t> </w:t>
      </w:r>
      <w:r>
        <w:rPr/>
        <w:t>la</w:t>
      </w:r>
      <w:r>
        <w:rPr>
          <w:spacing w:val="23"/>
        </w:rPr>
        <w:t> </w:t>
      </w:r>
      <w:r>
        <w:rPr/>
        <w:t>entidad</w:t>
      </w:r>
      <w:r>
        <w:rPr>
          <w:spacing w:val="25"/>
        </w:rPr>
        <w:t> </w:t>
      </w:r>
      <w:r>
        <w:rPr/>
        <w:t>en</w:t>
      </w:r>
      <w:r>
        <w:rPr>
          <w:spacing w:val="31"/>
        </w:rPr>
        <w:t> </w:t>
      </w:r>
      <w:r>
        <w:rPr/>
        <w:t>una</w:t>
      </w:r>
      <w:r>
        <w:rPr>
          <w:spacing w:val="25"/>
        </w:rPr>
        <w:t> </w:t>
      </w:r>
      <w:r>
        <w:rPr/>
        <w:t>cantidad</w:t>
      </w:r>
      <w:r>
        <w:rPr>
          <w:spacing w:val="23"/>
        </w:rPr>
        <w:t> </w:t>
      </w:r>
      <w:r>
        <w:rPr/>
        <w:t>equivalente</w:t>
      </w:r>
      <w:r>
        <w:rPr>
          <w:spacing w:val="27"/>
        </w:rPr>
        <w:t> </w:t>
      </w:r>
      <w:r>
        <w:rPr/>
        <w:t>al</w:t>
      </w:r>
      <w:r>
        <w:rPr>
          <w:spacing w:val="22"/>
        </w:rPr>
        <w:t> </w:t>
      </w:r>
      <w:r>
        <w:rPr/>
        <w:t>monto</w:t>
      </w:r>
      <w:r>
        <w:rPr>
          <w:spacing w:val="23"/>
        </w:rPr>
        <w:t> </w:t>
      </w:r>
      <w:r>
        <w:rPr/>
        <w:t>estimado</w:t>
      </w:r>
      <w:r>
        <w:rPr>
          <w:spacing w:val="23"/>
        </w:rPr>
        <w:t> </w:t>
      </w:r>
      <w:r>
        <w:rPr/>
        <w:t>de</w:t>
      </w:r>
      <w:r>
        <w:rPr>
          <w:spacing w:val="25"/>
        </w:rPr>
        <w:t> </w:t>
      </w:r>
      <w:r>
        <w:rPr/>
        <w:t>la</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pPr>
      <w:r>
        <w:rPr/>
        <w:t>recaudación</w:t>
      </w:r>
      <w:r>
        <w:rPr>
          <w:spacing w:val="40"/>
        </w:rPr>
        <w:t> </w:t>
      </w:r>
      <w:r>
        <w:rPr/>
        <w:t>que</w:t>
      </w:r>
      <w:r>
        <w:rPr>
          <w:spacing w:val="63"/>
        </w:rPr>
        <w:t> </w:t>
      </w:r>
      <w:r>
        <w:rPr/>
        <w:t>la</w:t>
      </w:r>
      <w:r>
        <w:rPr>
          <w:spacing w:val="63"/>
        </w:rPr>
        <w:t> </w:t>
      </w:r>
      <w:r>
        <w:rPr/>
        <w:t>misma</w:t>
      </w:r>
      <w:r>
        <w:rPr>
          <w:spacing w:val="40"/>
        </w:rPr>
        <w:t> </w:t>
      </w:r>
      <w:r>
        <w:rPr/>
        <w:t>obtenga</w:t>
      </w:r>
      <w:r>
        <w:rPr>
          <w:spacing w:val="63"/>
        </w:rPr>
        <w:t> </w:t>
      </w:r>
      <w:r>
        <w:rPr/>
        <w:t>o</w:t>
      </w:r>
      <w:r>
        <w:rPr>
          <w:spacing w:val="63"/>
        </w:rPr>
        <w:t> </w:t>
      </w:r>
      <w:r>
        <w:rPr/>
        <w:t>del</w:t>
      </w:r>
      <w:r>
        <w:rPr>
          <w:spacing w:val="40"/>
        </w:rPr>
        <w:t> </w:t>
      </w:r>
      <w:r>
        <w:rPr/>
        <w:t>estímulo</w:t>
      </w:r>
      <w:r>
        <w:rPr>
          <w:spacing w:val="63"/>
        </w:rPr>
        <w:t> </w:t>
      </w:r>
      <w:r>
        <w:rPr/>
        <w:t>fiscal</w:t>
      </w:r>
      <w:r>
        <w:rPr>
          <w:spacing w:val="40"/>
        </w:rPr>
        <w:t> </w:t>
      </w:r>
      <w:r>
        <w:rPr/>
        <w:t>que</w:t>
      </w:r>
      <w:r>
        <w:rPr>
          <w:spacing w:val="40"/>
        </w:rPr>
        <w:t> </w:t>
      </w:r>
      <w:r>
        <w:rPr/>
        <w:t>otorgue,</w:t>
      </w:r>
      <w:r>
        <w:rPr>
          <w:spacing w:val="63"/>
        </w:rPr>
        <w:t> </w:t>
      </w:r>
      <w:r>
        <w:rPr/>
        <w:t>en</w:t>
      </w:r>
      <w:r>
        <w:rPr>
          <w:spacing w:val="40"/>
        </w:rPr>
        <w:t> </w:t>
      </w:r>
      <w:r>
        <w:rPr/>
        <w:t>contravención</w:t>
      </w:r>
      <w:r>
        <w:rPr>
          <w:spacing w:val="40"/>
        </w:rPr>
        <w:t> </w:t>
      </w:r>
      <w:r>
        <w:rPr/>
        <w:t>a</w:t>
      </w:r>
      <w:r>
        <w:rPr>
          <w:spacing w:val="63"/>
        </w:rPr>
        <w:t> </w:t>
      </w:r>
      <w:r>
        <w:rPr/>
        <w:t>dichas </w:t>
      </w:r>
      <w:r>
        <w:rPr>
          <w:spacing w:val="-2"/>
        </w:rPr>
        <w:t>disposiciones.</w:t>
      </w:r>
    </w:p>
    <w:p>
      <w:pPr>
        <w:pStyle w:val="BodyText"/>
        <w:spacing w:before="229"/>
        <w:ind w:left="1" w:right="139" w:firstLine="288"/>
        <w:jc w:val="both"/>
      </w:pPr>
      <w:r>
        <w:rPr/>
        <w:t>La Secretaría de Hacienda y Crédito Público comunicará esta resolución a la entidad de que se trate, señalando</w:t>
      </w:r>
      <w:r>
        <w:rPr>
          <w:spacing w:val="-1"/>
        </w:rPr>
        <w:t> </w:t>
      </w:r>
      <w:r>
        <w:rPr/>
        <w:t>la</w:t>
      </w:r>
      <w:r>
        <w:rPr>
          <w:spacing w:val="-1"/>
        </w:rPr>
        <w:t> </w:t>
      </w:r>
      <w:r>
        <w:rPr/>
        <w:t>violación</w:t>
      </w:r>
      <w:r>
        <w:rPr>
          <w:spacing w:val="-3"/>
        </w:rPr>
        <w:t> </w:t>
      </w:r>
      <w:r>
        <w:rPr/>
        <w:t>que la</w:t>
      </w:r>
      <w:r>
        <w:rPr>
          <w:spacing w:val="-3"/>
        </w:rPr>
        <w:t> </w:t>
      </w:r>
      <w:r>
        <w:rPr/>
        <w:t>motiva,</w:t>
      </w:r>
      <w:r>
        <w:rPr>
          <w:spacing w:val="-1"/>
        </w:rPr>
        <w:t> </w:t>
      </w:r>
      <w:r>
        <w:rPr/>
        <w:t>para</w:t>
      </w:r>
      <w:r>
        <w:rPr>
          <w:spacing w:val="-1"/>
        </w:rPr>
        <w:t> </w:t>
      </w:r>
      <w:r>
        <w:rPr/>
        <w:t>cuya</w:t>
      </w:r>
      <w:r>
        <w:rPr>
          <w:spacing w:val="-1"/>
        </w:rPr>
        <w:t> </w:t>
      </w:r>
      <w:r>
        <w:rPr/>
        <w:t>corrección</w:t>
      </w:r>
      <w:r>
        <w:rPr>
          <w:spacing w:val="-2"/>
        </w:rPr>
        <w:t> </w:t>
      </w:r>
      <w:r>
        <w:rPr/>
        <w:t>la</w:t>
      </w:r>
      <w:r>
        <w:rPr>
          <w:spacing w:val="-1"/>
        </w:rPr>
        <w:t> </w:t>
      </w:r>
      <w:r>
        <w:rPr/>
        <w:t>entidad</w:t>
      </w:r>
      <w:r>
        <w:rPr>
          <w:spacing w:val="-4"/>
        </w:rPr>
        <w:t> </w:t>
      </w:r>
      <w:r>
        <w:rPr/>
        <w:t>contará</w:t>
      </w:r>
      <w:r>
        <w:rPr>
          <w:spacing w:val="-1"/>
        </w:rPr>
        <w:t> </w:t>
      </w:r>
      <w:r>
        <w:rPr/>
        <w:t>con un</w:t>
      </w:r>
      <w:r>
        <w:rPr>
          <w:spacing w:val="-4"/>
        </w:rPr>
        <w:t> </w:t>
      </w:r>
      <w:r>
        <w:rPr/>
        <w:t>plazo</w:t>
      </w:r>
      <w:r>
        <w:rPr>
          <w:spacing w:val="-1"/>
        </w:rPr>
        <w:t> </w:t>
      </w:r>
      <w:r>
        <w:rPr/>
        <w:t>mínimo</w:t>
      </w:r>
      <w:r>
        <w:rPr>
          <w:spacing w:val="-3"/>
        </w:rPr>
        <w:t> </w:t>
      </w:r>
      <w:r>
        <w:rPr/>
        <w:t>de</w:t>
      </w:r>
      <w:r>
        <w:rPr>
          <w:spacing w:val="-3"/>
        </w:rPr>
        <w:t> </w:t>
      </w:r>
      <w:r>
        <w:rPr/>
        <w:t>tres meses. Si la entidad no efectuara la corrección se considerará que deja de estar adherida al Sistema Nacional de Coordinación Fiscal. La Secretaría de Hacienda y Crédito Público hará la declaratoria correspondiente, la notificará a la entidad de que se trate y ordenará la publicación de la misma en el Diario Oficial de la Federación. Dicha declaratoria surtirá sus efectos 90 días después de su publicación.</w:t>
      </w:r>
    </w:p>
    <w:p>
      <w:pPr>
        <w:pStyle w:val="BodyText"/>
        <w:spacing w:before="1"/>
      </w:pPr>
    </w:p>
    <w:p>
      <w:pPr>
        <w:pStyle w:val="BodyText"/>
        <w:ind w:left="1" w:right="154" w:firstLine="288"/>
        <w:jc w:val="both"/>
      </w:pPr>
      <w:r>
        <w:rPr/>
        <w:t>Las cantidades en que se reduzcan las participaciones de una entidad, en los términos de este precepto, incrementarán al Fondo General de Participaciones en el siguiente año.</w:t>
      </w:r>
    </w:p>
    <w:p>
      <w:pPr>
        <w:spacing w:line="183" w:lineRule="exact" w:before="0"/>
        <w:ind w:left="620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28-12-1989,</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5"/>
        <w:rPr>
          <w:rFonts w:ascii="Times New Roman"/>
          <w:i/>
          <w:sz w:val="16"/>
        </w:rPr>
      </w:pPr>
    </w:p>
    <w:p>
      <w:pPr>
        <w:pStyle w:val="BodyText"/>
        <w:ind w:left="1" w:right="140" w:firstLine="288"/>
        <w:jc w:val="both"/>
      </w:pPr>
      <w:bookmarkStart w:name="Artículo_11_A" w:id="23"/>
      <w:bookmarkEnd w:id="23"/>
      <w:r>
        <w:rPr/>
      </w:r>
      <w:r>
        <w:rPr>
          <w:rFonts w:ascii="Arial" w:hAnsi="Arial"/>
          <w:b/>
        </w:rPr>
        <w:t>Artículo 11-A.- </w:t>
      </w:r>
      <w:r>
        <w:rPr/>
        <w:t>Las personas que resulten afectadas por incumplimiento de las disposiciones del Sistema Nacional de Coordinación Fiscal y de las de coordinación en materia de derechos podrán presentar recurso de inconformidad ante la Secretaría de Hacienda y Crédito Público dentro de los cuarenta y cinco días hábiles siguientes a aquél en que haya surtido efectos la notificación del requerimiento o, en su caso, a partir de la fecha de pago de la contribución que corresponda. No procederá la interposición del recurso de inconformidad cuando se refiera a la interpretación directa del texto constitucional.</w:t>
      </w:r>
    </w:p>
    <w:p>
      <w:pPr>
        <w:spacing w:before="0"/>
        <w:ind w:left="620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26-12-1990,</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50"/>
        <w:rPr>
          <w:rFonts w:ascii="Times New Roman"/>
          <w:i/>
          <w:sz w:val="16"/>
        </w:rPr>
      </w:pPr>
    </w:p>
    <w:p>
      <w:pPr>
        <w:pStyle w:val="BodyText"/>
        <w:ind w:left="1" w:right="145" w:firstLine="288"/>
        <w:jc w:val="both"/>
      </w:pPr>
      <w:r>
        <w:rPr/>
        <w:t>El recurso de inconformidad, podrá presentarse por un conjunto de contribuyentes que tengan un representante común. Para estos efectos los sindicatos, las cámaras de comercio y de industria y sus confederaciones, podrán fungir como representantes.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26-12-</w:t>
      </w:r>
      <w:r>
        <w:rPr>
          <w:rFonts w:ascii="Times New Roman" w:hAnsi="Times New Roman"/>
          <w:i/>
          <w:color w:val="0000FF"/>
          <w:spacing w:val="-4"/>
          <w:sz w:val="16"/>
        </w:rPr>
        <w:t>1990</w:t>
      </w:r>
    </w:p>
    <w:p>
      <w:pPr>
        <w:pStyle w:val="BodyText"/>
        <w:spacing w:before="49"/>
        <w:rPr>
          <w:rFonts w:ascii="Times New Roman"/>
          <w:i/>
          <w:sz w:val="16"/>
        </w:rPr>
      </w:pPr>
    </w:p>
    <w:p>
      <w:pPr>
        <w:pStyle w:val="BodyText"/>
        <w:spacing w:before="1"/>
        <w:ind w:left="1" w:right="152" w:firstLine="288"/>
        <w:jc w:val="both"/>
      </w:pPr>
      <w:r>
        <w:rPr/>
        <w:t>El recurso de inconformidad se tramitará conforme a las disposiciones que sobre el recurso de revocación establece el Código Fiscal de la Federación, con las siguientes modalidades:</w:t>
      </w:r>
    </w:p>
    <w:p>
      <w:pPr>
        <w:pStyle w:val="BodyText"/>
        <w:tabs>
          <w:tab w:pos="721" w:val="left" w:leader="none"/>
        </w:tabs>
        <w:spacing w:before="226"/>
        <w:ind w:left="289"/>
      </w:pPr>
      <w:r>
        <w:rPr>
          <w:rFonts w:ascii="Arial" w:hAnsi="Arial"/>
          <w:b/>
          <w:spacing w:val="-5"/>
        </w:rPr>
        <w:t>I.-</w:t>
      </w:r>
      <w:r>
        <w:rPr>
          <w:rFonts w:ascii="Arial" w:hAnsi="Arial"/>
          <w:b/>
        </w:rPr>
        <w:tab/>
      </w:r>
      <w:r>
        <w:rPr/>
        <w:t>La</w:t>
      </w:r>
      <w:r>
        <w:rPr>
          <w:spacing w:val="-8"/>
        </w:rPr>
        <w:t> </w:t>
      </w:r>
      <w:r>
        <w:rPr/>
        <w:t>Secretaría</w:t>
      </w:r>
      <w:r>
        <w:rPr>
          <w:spacing w:val="-4"/>
        </w:rPr>
        <w:t> </w:t>
      </w:r>
      <w:r>
        <w:rPr/>
        <w:t>de</w:t>
      </w:r>
      <w:r>
        <w:rPr>
          <w:spacing w:val="-5"/>
        </w:rPr>
        <w:t> </w:t>
      </w:r>
      <w:r>
        <w:rPr/>
        <w:t>Hacienda</w:t>
      </w:r>
      <w:r>
        <w:rPr>
          <w:spacing w:val="-3"/>
        </w:rPr>
        <w:t> </w:t>
      </w:r>
      <w:r>
        <w:rPr/>
        <w:t>y</w:t>
      </w:r>
      <w:r>
        <w:rPr>
          <w:spacing w:val="-7"/>
        </w:rPr>
        <w:t> </w:t>
      </w:r>
      <w:r>
        <w:rPr/>
        <w:t>Crédito</w:t>
      </w:r>
      <w:r>
        <w:rPr>
          <w:spacing w:val="-4"/>
        </w:rPr>
        <w:t> </w:t>
      </w:r>
      <w:r>
        <w:rPr/>
        <w:t>Público</w:t>
      </w:r>
      <w:r>
        <w:rPr>
          <w:spacing w:val="-6"/>
        </w:rPr>
        <w:t> </w:t>
      </w:r>
      <w:r>
        <w:rPr/>
        <w:t>oirá</w:t>
      </w:r>
      <w:r>
        <w:rPr>
          <w:spacing w:val="-5"/>
        </w:rPr>
        <w:t> </w:t>
      </w:r>
      <w:r>
        <w:rPr/>
        <w:t>a</w:t>
      </w:r>
      <w:r>
        <w:rPr>
          <w:spacing w:val="-6"/>
        </w:rPr>
        <w:t> </w:t>
      </w:r>
      <w:r>
        <w:rPr/>
        <w:t>la</w:t>
      </w:r>
      <w:r>
        <w:rPr>
          <w:spacing w:val="-6"/>
        </w:rPr>
        <w:t> </w:t>
      </w:r>
      <w:r>
        <w:rPr/>
        <w:t>entidad</w:t>
      </w:r>
      <w:r>
        <w:rPr>
          <w:spacing w:val="-5"/>
        </w:rPr>
        <w:t> </w:t>
      </w:r>
      <w:r>
        <w:rPr/>
        <w:t>de</w:t>
      </w:r>
      <w:r>
        <w:rPr>
          <w:spacing w:val="-7"/>
        </w:rPr>
        <w:t> </w:t>
      </w:r>
      <w:r>
        <w:rPr/>
        <w:t>que</w:t>
      </w:r>
      <w:r>
        <w:rPr>
          <w:spacing w:val="-7"/>
        </w:rPr>
        <w:t> </w:t>
      </w:r>
      <w:r>
        <w:rPr/>
        <w:t>se</w:t>
      </w:r>
      <w:r>
        <w:rPr>
          <w:spacing w:val="-5"/>
        </w:rPr>
        <w:t> </w:t>
      </w:r>
      <w:r>
        <w:rPr>
          <w:spacing w:val="-2"/>
        </w:rPr>
        <w:t>trate.</w:t>
      </w:r>
    </w:p>
    <w:p>
      <w:pPr>
        <w:pStyle w:val="BodyText"/>
        <w:spacing w:before="1"/>
      </w:pPr>
    </w:p>
    <w:p>
      <w:pPr>
        <w:pStyle w:val="BodyText"/>
        <w:ind w:left="721" w:right="149" w:hanging="432"/>
        <w:jc w:val="both"/>
      </w:pPr>
      <w:r>
        <w:rPr>
          <w:rFonts w:ascii="Arial" w:hAnsi="Arial"/>
          <w:b/>
        </w:rPr>
        <w:t>II.-</w:t>
      </w:r>
      <w:r>
        <w:rPr>
          <w:rFonts w:ascii="Arial" w:hAnsi="Arial"/>
          <w:b/>
          <w:spacing w:val="40"/>
        </w:rPr>
        <w:t> </w:t>
      </w:r>
      <w:r>
        <w:rPr/>
        <w:t>La Secretaría de Hacienda y Crédito Público solicitará un dictamen técnico a la Junta de Coordinación Fiscal.</w:t>
      </w:r>
    </w:p>
    <w:p>
      <w:pPr>
        <w:pStyle w:val="BodyText"/>
        <w:spacing w:line="242" w:lineRule="auto" w:before="229"/>
        <w:ind w:left="721" w:right="152" w:hanging="432"/>
        <w:jc w:val="both"/>
      </w:pPr>
      <w:r>
        <w:rPr>
          <w:rFonts w:ascii="Arial" w:hAnsi="Arial"/>
          <w:b/>
        </w:rPr>
        <w:t>III.-</w:t>
      </w:r>
      <w:r>
        <w:rPr>
          <w:rFonts w:ascii="Arial" w:hAnsi="Arial"/>
          <w:b/>
          <w:spacing w:val="40"/>
        </w:rPr>
        <w:t> </w:t>
      </w:r>
      <w:r>
        <w:rPr/>
        <w:t>El plazo para resolver el recurso será de un mes a partir de la fecha en que la Secretaría de Hacienda y Crédito Público reciba el dictamen a que se refiere la fracción anterior.</w:t>
      </w:r>
    </w:p>
    <w:p>
      <w:pPr>
        <w:pStyle w:val="BodyText"/>
        <w:spacing w:before="226"/>
        <w:ind w:left="721" w:right="148" w:hanging="432"/>
        <w:jc w:val="both"/>
      </w:pPr>
      <w:r>
        <w:rPr>
          <w:rFonts w:ascii="Arial" w:hAnsi="Arial"/>
          <w:b/>
        </w:rPr>
        <w:t>IV.- </w:t>
      </w:r>
      <w:r>
        <w:rPr/>
        <w:t>La resolución podrá ordenar a la Tesorería de la Federación la devolución de las cantidades indebidamente cobradas, con cargo a las participaciones de la entidad. A estas devoluciones les será aplicable lo que al respecto establece el Código Fiscal de la Federación.</w:t>
      </w:r>
    </w:p>
    <w:p>
      <w:pPr>
        <w:pStyle w:val="BodyText"/>
        <w:spacing w:before="2"/>
      </w:pPr>
    </w:p>
    <w:p>
      <w:pPr>
        <w:pStyle w:val="BodyText"/>
        <w:spacing w:before="1"/>
        <w:ind w:left="1" w:right="148" w:firstLine="288"/>
        <w:jc w:val="both"/>
      </w:pPr>
      <w:r>
        <w:rPr/>
        <w:t>La resolución podrá ser impugnada por los promoventes del recurso ante el Tribunal Federal de Justicia Fiscal y Administrativa y por la entidad afectada ante la Suprema Corte de Justicia de la Nación, en los términos establecidos en el artículo 12 de la presente Ley.</w:t>
      </w:r>
    </w:p>
    <w:p>
      <w:pPr>
        <w:spacing w:line="240" w:lineRule="auto" w:before="0"/>
        <w:ind w:left="4603" w:right="138" w:firstLine="1601"/>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31-12-2000,</w:t>
      </w:r>
      <w:r>
        <w:rPr>
          <w:rFonts w:ascii="Times New Roman" w:hAnsi="Times New Roman"/>
          <w:i/>
          <w:color w:val="0000FF"/>
          <w:spacing w:val="-8"/>
          <w:sz w:val="16"/>
        </w:rPr>
        <w:t> </w:t>
      </w:r>
      <w:r>
        <w:rPr>
          <w:rFonts w:ascii="Times New Roman" w:hAnsi="Times New Roman"/>
          <w:i/>
          <w:color w:val="0000FF"/>
          <w:sz w:val="16"/>
        </w:rPr>
        <w:t>21-12-2007</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21-12-2007:</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quinto</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1989</w:t>
      </w:r>
    </w:p>
    <w:p>
      <w:pPr>
        <w:pStyle w:val="BodyText"/>
        <w:spacing w:before="42"/>
        <w:rPr>
          <w:rFonts w:ascii="Times New Roman"/>
          <w:i/>
          <w:sz w:val="16"/>
        </w:rPr>
      </w:pPr>
    </w:p>
    <w:p>
      <w:pPr>
        <w:pStyle w:val="BodyText"/>
        <w:spacing w:line="242" w:lineRule="auto"/>
        <w:ind w:left="1" w:right="147" w:firstLine="288"/>
        <w:jc w:val="both"/>
      </w:pPr>
      <w:bookmarkStart w:name="Artículo_12" w:id="24"/>
      <w:bookmarkEnd w:id="24"/>
      <w:r>
        <w:rPr/>
      </w:r>
      <w:r>
        <w:rPr>
          <w:rFonts w:ascii="Arial" w:hAnsi="Arial"/>
          <w:b/>
        </w:rPr>
        <w:t>Artículo 12.- </w:t>
      </w:r>
      <w:r>
        <w:rPr/>
        <w:t>La Entidad inconforme con la declaratoria por la que se considera que deja de estar adherida al Sistema Nacional de Coordinación Fiscal podrá ocurrir ante la Suprema Corte de Justicia de</w:t>
      </w:r>
      <w:r>
        <w:rPr>
          <w:spacing w:val="40"/>
        </w:rPr>
        <w:t> </w:t>
      </w:r>
      <w:r>
        <w:rPr/>
        <w:t>la Nación, conforme al</w:t>
      </w:r>
      <w:r>
        <w:rPr>
          <w:spacing w:val="12"/>
        </w:rPr>
        <w:t> </w:t>
      </w:r>
      <w:r>
        <w:rPr/>
        <w:t>artículo</w:t>
      </w:r>
      <w:r>
        <w:rPr>
          <w:spacing w:val="13"/>
        </w:rPr>
        <w:t> </w:t>
      </w:r>
      <w:r>
        <w:rPr/>
        <w:t>105</w:t>
      </w:r>
      <w:r>
        <w:rPr>
          <w:spacing w:val="13"/>
        </w:rPr>
        <w:t> </w:t>
      </w:r>
      <w:r>
        <w:rPr/>
        <w:t>de la Constitución Política</w:t>
      </w:r>
      <w:r>
        <w:rPr>
          <w:spacing w:val="13"/>
        </w:rPr>
        <w:t> </w:t>
      </w:r>
      <w:r>
        <w:rPr/>
        <w:t>de</w:t>
      </w:r>
      <w:r>
        <w:rPr>
          <w:spacing w:val="13"/>
        </w:rPr>
        <w:t> </w:t>
      </w:r>
      <w:r>
        <w:rPr/>
        <w:t>los</w:t>
      </w:r>
      <w:r>
        <w:rPr>
          <w:spacing w:val="12"/>
        </w:rPr>
        <w:t> </w:t>
      </w:r>
      <w:r>
        <w:rPr/>
        <w:t>Estados</w:t>
      </w:r>
      <w:r>
        <w:rPr>
          <w:spacing w:val="15"/>
        </w:rPr>
        <w:t> </w:t>
      </w:r>
      <w:r>
        <w:rPr/>
        <w:t>Unidos</w:t>
      </w:r>
      <w:r>
        <w:rPr>
          <w:spacing w:val="12"/>
        </w:rPr>
        <w:t> </w:t>
      </w:r>
      <w:r>
        <w:rPr/>
        <w:t>Mexicanos</w:t>
      </w:r>
      <w:r>
        <w:rPr>
          <w:spacing w:val="14"/>
        </w:rPr>
        <w:t> </w:t>
      </w:r>
      <w:r>
        <w:rPr/>
        <w:t>y de</w:t>
      </w:r>
      <w:r>
        <w:rPr>
          <w:spacing w:val="13"/>
        </w:rPr>
        <w:t> </w:t>
      </w:r>
      <w:r>
        <w:rPr/>
        <w:t>la</w:t>
      </w:r>
    </w:p>
    <w:p>
      <w:pPr>
        <w:pStyle w:val="BodyText"/>
        <w:spacing w:after="0" w:line="242" w:lineRule="auto"/>
        <w:jc w:val="both"/>
        <w:sectPr>
          <w:pgSz w:w="12250" w:h="15850"/>
          <w:pgMar w:header="724" w:footer="712" w:top="1880" w:bottom="900" w:left="1417" w:right="1275"/>
        </w:sectPr>
      </w:pPr>
    </w:p>
    <w:p>
      <w:pPr>
        <w:pStyle w:val="BodyText"/>
        <w:spacing w:before="67"/>
      </w:pPr>
    </w:p>
    <w:p>
      <w:pPr>
        <w:pStyle w:val="BodyText"/>
        <w:ind w:left="1"/>
      </w:pPr>
      <w:r>
        <w:rPr/>
        <w:t>Ley</w:t>
      </w:r>
      <w:r>
        <w:rPr>
          <w:spacing w:val="-4"/>
        </w:rPr>
        <w:t> </w:t>
      </w:r>
      <w:r>
        <w:rPr/>
        <w:t>Orgánica</w:t>
      </w:r>
      <w:r>
        <w:rPr>
          <w:spacing w:val="-1"/>
        </w:rPr>
        <w:t> </w:t>
      </w:r>
      <w:r>
        <w:rPr/>
        <w:t>del</w:t>
      </w:r>
      <w:r>
        <w:rPr>
          <w:spacing w:val="-2"/>
        </w:rPr>
        <w:t> </w:t>
      </w:r>
      <w:r>
        <w:rPr/>
        <w:t>Poder</w:t>
      </w:r>
      <w:r>
        <w:rPr>
          <w:spacing w:val="-3"/>
        </w:rPr>
        <w:t> </w:t>
      </w:r>
      <w:r>
        <w:rPr/>
        <w:t>Judicial</w:t>
      </w:r>
      <w:r>
        <w:rPr>
          <w:spacing w:val="-4"/>
        </w:rPr>
        <w:t> </w:t>
      </w:r>
      <w:r>
        <w:rPr/>
        <w:t>Federal,</w:t>
      </w:r>
      <w:r>
        <w:rPr>
          <w:spacing w:val="-1"/>
        </w:rPr>
        <w:t> </w:t>
      </w:r>
      <w:r>
        <w:rPr/>
        <w:t>demandando</w:t>
      </w:r>
      <w:r>
        <w:rPr>
          <w:spacing w:val="-3"/>
        </w:rPr>
        <w:t> </w:t>
      </w:r>
      <w:r>
        <w:rPr/>
        <w:t>la</w:t>
      </w:r>
      <w:r>
        <w:rPr>
          <w:spacing w:val="-3"/>
        </w:rPr>
        <w:t> </w:t>
      </w:r>
      <w:r>
        <w:rPr/>
        <w:t>anulación</w:t>
      </w:r>
      <w:r>
        <w:rPr>
          <w:spacing w:val="-2"/>
        </w:rPr>
        <w:t> </w:t>
      </w:r>
      <w:r>
        <w:rPr/>
        <w:t>de</w:t>
      </w:r>
      <w:r>
        <w:rPr>
          <w:spacing w:val="-1"/>
        </w:rPr>
        <w:t> </w:t>
      </w:r>
      <w:r>
        <w:rPr/>
        <w:t>la</w:t>
      </w:r>
      <w:r>
        <w:rPr>
          <w:spacing w:val="-1"/>
        </w:rPr>
        <w:t> </w:t>
      </w:r>
      <w:r>
        <w:rPr/>
        <w:t>declaratoria</w:t>
      </w:r>
      <w:r>
        <w:rPr>
          <w:spacing w:val="-1"/>
        </w:rPr>
        <w:t> </w:t>
      </w:r>
      <w:r>
        <w:rPr/>
        <w:t>que</w:t>
      </w:r>
      <w:r>
        <w:rPr>
          <w:spacing w:val="-3"/>
        </w:rPr>
        <w:t> </w:t>
      </w:r>
      <w:r>
        <w:rPr/>
        <w:t>se</w:t>
      </w:r>
      <w:r>
        <w:rPr>
          <w:spacing w:val="-1"/>
        </w:rPr>
        <w:t> </w:t>
      </w:r>
      <w:r>
        <w:rPr/>
        <w:t>haya</w:t>
      </w:r>
      <w:r>
        <w:rPr>
          <w:spacing w:val="-1"/>
        </w:rPr>
        <w:t> </w:t>
      </w:r>
      <w:r>
        <w:rPr/>
        <w:t>dictado conforme al artículo anterior de esta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9"/>
        <w:rPr>
          <w:rFonts w:ascii="Times New Roman"/>
          <w:i/>
          <w:sz w:val="16"/>
        </w:rPr>
      </w:pPr>
    </w:p>
    <w:p>
      <w:pPr>
        <w:pStyle w:val="BodyText"/>
        <w:spacing w:before="1"/>
        <w:ind w:left="1" w:right="144" w:firstLine="288"/>
        <w:jc w:val="both"/>
      </w:pPr>
      <w:r>
        <w:rPr/>
        <w:t>Desde la admisión de la demanda se suspenderán los efectos de la declaratoria impugnada, por 150 días. El fallo de la Suprema Corte de Justicia de la Nación producirá efectos 30 días después de su publicación en el Diario Oficial de la Federación.</w:t>
      </w:r>
    </w:p>
    <w:p>
      <w:pPr>
        <w:pStyle w:val="BodyText"/>
        <w:spacing w:before="229"/>
        <w:ind w:left="1" w:right="143" w:firstLine="288"/>
        <w:jc w:val="both"/>
      </w:pPr>
      <w:r>
        <w:rPr/>
        <w:t>La Suprema Corte de Justicia de la Nación ordenará la publicación en el Diario Oficial de la Federación, tanto de la suspensión de los efectos de la declaratoria impugnada, como de los puntos resolutivos del fallo de la Suprema Corte de Justicia de la Nación.</w:t>
      </w:r>
    </w:p>
    <w:p>
      <w:pPr>
        <w:pStyle w:val="BodyText"/>
        <w:spacing w:before="2"/>
      </w:pPr>
    </w:p>
    <w:p>
      <w:pPr>
        <w:pStyle w:val="BodyText"/>
        <w:ind w:left="1" w:right="139" w:firstLine="288"/>
        <w:jc w:val="both"/>
      </w:pPr>
      <w:r>
        <w:rPr/>
        <w:t>En caso de que la Secretaría de Hacienda y Crédito Público infringiera las disposiciones legales y convenios relativos a la coordinación fiscal en perjuicio de un entidad federativa, ésta podrá reclamar su cumplimiento ante la Suprema Corte de Justicia de la Nación, siguiendo, en lo aplicable el procedimiento establecido en la Ley Reglamentaria de las fracciones I y II del artículo 105 de la Constitución Política de los Estados Unidos Mexicanos.</w:t>
      </w:r>
    </w:p>
    <w:p>
      <w:pPr>
        <w:spacing w:line="237" w:lineRule="auto" w:before="0"/>
        <w:ind w:left="3232" w:right="0" w:firstLine="379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15-12-1995</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11-05-1995:</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los</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segundo,</w:t>
      </w:r>
      <w:r>
        <w:rPr>
          <w:rFonts w:ascii="Times New Roman" w:hAnsi="Times New Roman"/>
          <w:i/>
          <w:color w:val="585858"/>
          <w:spacing w:val="-7"/>
          <w:sz w:val="16"/>
        </w:rPr>
        <w:t> </w:t>
      </w:r>
      <w:r>
        <w:rPr>
          <w:rFonts w:ascii="Times New Roman" w:hAnsi="Times New Roman"/>
          <w:i/>
          <w:color w:val="585858"/>
          <w:sz w:val="16"/>
        </w:rPr>
        <w:t>tercero</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2"/>
          <w:sz w:val="16"/>
        </w:rPr>
        <w:t>cuarto</w:t>
      </w:r>
    </w:p>
    <w:p>
      <w:pPr>
        <w:pStyle w:val="BodyText"/>
        <w:spacing w:before="45"/>
        <w:rPr>
          <w:rFonts w:ascii="Times New Roman"/>
          <w:i/>
          <w:sz w:val="16"/>
        </w:rPr>
      </w:pPr>
    </w:p>
    <w:p>
      <w:pPr>
        <w:pStyle w:val="Heading1"/>
        <w:spacing w:line="252" w:lineRule="exact" w:before="0"/>
        <w:ind w:left="0" w:right="139"/>
      </w:pPr>
      <w:r>
        <w:rPr/>
        <w:t>CAPITULO</w:t>
      </w:r>
      <w:r>
        <w:rPr>
          <w:spacing w:val="-9"/>
        </w:rPr>
        <w:t> </w:t>
      </w:r>
      <w:r>
        <w:rPr>
          <w:spacing w:val="-5"/>
        </w:rPr>
        <w:t>III</w:t>
      </w:r>
    </w:p>
    <w:p>
      <w:pPr>
        <w:pStyle w:val="Heading2"/>
        <w:spacing w:line="252" w:lineRule="exact"/>
        <w:ind w:left="0" w:right="143"/>
      </w:pPr>
      <w:r>
        <w:rPr/>
        <w:t>De</w:t>
      </w:r>
      <w:r>
        <w:rPr>
          <w:spacing w:val="-7"/>
        </w:rPr>
        <w:t> </w:t>
      </w:r>
      <w:r>
        <w:rPr/>
        <w:t>la</w:t>
      </w:r>
      <w:r>
        <w:rPr>
          <w:spacing w:val="-5"/>
        </w:rPr>
        <w:t> </w:t>
      </w:r>
      <w:r>
        <w:rPr/>
        <w:t>Colaboración</w:t>
      </w:r>
      <w:r>
        <w:rPr>
          <w:spacing w:val="-3"/>
        </w:rPr>
        <w:t> </w:t>
      </w:r>
      <w:r>
        <w:rPr/>
        <w:t>Administrativa</w:t>
      </w:r>
      <w:r>
        <w:rPr>
          <w:spacing w:val="-5"/>
        </w:rPr>
        <w:t> </w:t>
      </w:r>
      <w:r>
        <w:rPr/>
        <w:t>entre</w:t>
      </w:r>
      <w:r>
        <w:rPr>
          <w:spacing w:val="-6"/>
        </w:rPr>
        <w:t> </w:t>
      </w:r>
      <w:r>
        <w:rPr/>
        <w:t>las</w:t>
      </w:r>
      <w:r>
        <w:rPr>
          <w:spacing w:val="-5"/>
        </w:rPr>
        <w:t> </w:t>
      </w:r>
      <w:r>
        <w:rPr/>
        <w:t>Entidades</w:t>
      </w:r>
      <w:r>
        <w:rPr>
          <w:spacing w:val="-6"/>
        </w:rPr>
        <w:t> </w:t>
      </w:r>
      <w:r>
        <w:rPr/>
        <w:t>y</w:t>
      </w:r>
      <w:r>
        <w:rPr>
          <w:spacing w:val="-9"/>
        </w:rPr>
        <w:t> </w:t>
      </w:r>
      <w:r>
        <w:rPr/>
        <w:t>la</w:t>
      </w:r>
      <w:r>
        <w:rPr>
          <w:spacing w:val="-4"/>
        </w:rPr>
        <w:t> </w:t>
      </w:r>
      <w:r>
        <w:rPr>
          <w:spacing w:val="-2"/>
        </w:rPr>
        <w:t>Federación</w:t>
      </w:r>
    </w:p>
    <w:p>
      <w:pPr>
        <w:pStyle w:val="BodyText"/>
        <w:spacing w:before="233"/>
        <w:ind w:left="1" w:right="143" w:firstLine="288"/>
        <w:jc w:val="both"/>
      </w:pPr>
      <w:bookmarkStart w:name="Artículo_13" w:id="25"/>
      <w:bookmarkEnd w:id="25"/>
      <w:r>
        <w:rPr/>
      </w:r>
      <w:r>
        <w:rPr>
          <w:rFonts w:ascii="Arial" w:hAnsi="Arial"/>
          <w:b/>
        </w:rPr>
        <w:t>Artículo 13.- </w:t>
      </w:r>
      <w:r>
        <w:rPr/>
        <w:t>El Gobierno Federal, por conducto de la Secretaría de Hacienda y Crédito Público, y los Gobiernos de las Entidades que se hubieran adherido al Sistema Nacional de Coordinación Fiscal,</w:t>
      </w:r>
      <w:r>
        <w:rPr>
          <w:spacing w:val="40"/>
        </w:rPr>
        <w:t> </w:t>
      </w:r>
      <w:r>
        <w:rPr/>
        <w:t>podrán celebrar convenios de coordinación en materia de administración de ingresos federales, que comprenderán las funciones de Registro Federal de Contribuyentes, recaudación, fiscalización y administración, que serán ejercidas por las autoridades fiscales de las Entidades o de los Municipios cuando así se pacte expresamente.</w:t>
      </w:r>
    </w:p>
    <w:p>
      <w:pPr>
        <w:pStyle w:val="BodyText"/>
        <w:spacing w:before="1"/>
      </w:pPr>
    </w:p>
    <w:p>
      <w:pPr>
        <w:pStyle w:val="BodyText"/>
        <w:ind w:left="1" w:right="149" w:firstLine="288"/>
        <w:jc w:val="both"/>
      </w:pPr>
      <w:r>
        <w:rPr/>
        <w:t>En los convenios a que se refiere este artículo se especificarán los ingresos de que se trate, las facultades</w:t>
      </w:r>
      <w:r>
        <w:rPr>
          <w:spacing w:val="-1"/>
        </w:rPr>
        <w:t> </w:t>
      </w:r>
      <w:r>
        <w:rPr/>
        <w:t>que</w:t>
      </w:r>
      <w:r>
        <w:rPr>
          <w:spacing w:val="-2"/>
        </w:rPr>
        <w:t> </w:t>
      </w:r>
      <w:r>
        <w:rPr/>
        <w:t>ejercerán y</w:t>
      </w:r>
      <w:r>
        <w:rPr>
          <w:spacing w:val="-5"/>
        </w:rPr>
        <w:t> </w:t>
      </w:r>
      <w:r>
        <w:rPr/>
        <w:t>las</w:t>
      </w:r>
      <w:r>
        <w:rPr>
          <w:spacing w:val="-3"/>
        </w:rPr>
        <w:t> </w:t>
      </w:r>
      <w:r>
        <w:rPr/>
        <w:t>limitaciones</w:t>
      </w:r>
      <w:r>
        <w:rPr>
          <w:spacing w:val="-1"/>
        </w:rPr>
        <w:t> </w:t>
      </w:r>
      <w:r>
        <w:rPr/>
        <w:t>de</w:t>
      </w:r>
      <w:r>
        <w:rPr>
          <w:spacing w:val="-2"/>
        </w:rPr>
        <w:t> </w:t>
      </w:r>
      <w:r>
        <w:rPr/>
        <w:t>las</w:t>
      </w:r>
      <w:r>
        <w:rPr>
          <w:spacing w:val="-1"/>
        </w:rPr>
        <w:t> </w:t>
      </w:r>
      <w:r>
        <w:rPr/>
        <w:t>mismas.</w:t>
      </w:r>
      <w:r>
        <w:rPr>
          <w:spacing w:val="-4"/>
        </w:rPr>
        <w:t> </w:t>
      </w:r>
      <w:r>
        <w:rPr/>
        <w:t>Dichos</w:t>
      </w:r>
      <w:r>
        <w:rPr>
          <w:spacing w:val="-3"/>
        </w:rPr>
        <w:t> </w:t>
      </w:r>
      <w:r>
        <w:rPr/>
        <w:t>convenios</w:t>
      </w:r>
      <w:r>
        <w:rPr>
          <w:spacing w:val="-3"/>
        </w:rPr>
        <w:t> </w:t>
      </w:r>
      <w:r>
        <w:rPr/>
        <w:t>se</w:t>
      </w:r>
      <w:r>
        <w:rPr>
          <w:spacing w:val="-2"/>
        </w:rPr>
        <w:t> </w:t>
      </w:r>
      <w:r>
        <w:rPr/>
        <w:t>publicarán</w:t>
      </w:r>
      <w:r>
        <w:rPr>
          <w:spacing w:val="-3"/>
        </w:rPr>
        <w:t> </w:t>
      </w:r>
      <w:r>
        <w:rPr/>
        <w:t>en</w:t>
      </w:r>
      <w:r>
        <w:rPr>
          <w:spacing w:val="-2"/>
        </w:rPr>
        <w:t> </w:t>
      </w:r>
      <w:r>
        <w:rPr/>
        <w:t>el</w:t>
      </w:r>
      <w:r>
        <w:rPr>
          <w:spacing w:val="-3"/>
        </w:rPr>
        <w:t> </w:t>
      </w:r>
      <w:r>
        <w:rPr/>
        <w:t>Periódico Oficial de la Entidad y en el Diario Oficial de la Federación, y surtirán sus efectos a partir de las fechas que en el propio convenio se establezcan o, en su defecto, a partir del día siguiente de la publicación en</w:t>
      </w:r>
      <w:r>
        <w:rPr>
          <w:spacing w:val="40"/>
        </w:rPr>
        <w:t> </w:t>
      </w:r>
      <w:r>
        <w:rPr/>
        <w:t>el Diario Oficial de la Federación.</w:t>
      </w:r>
    </w:p>
    <w:p>
      <w:pPr>
        <w:pStyle w:val="BodyText"/>
      </w:pPr>
    </w:p>
    <w:p>
      <w:pPr>
        <w:pStyle w:val="BodyText"/>
        <w:spacing w:before="1"/>
        <w:ind w:left="1" w:right="147" w:firstLine="288"/>
        <w:jc w:val="both"/>
      </w:pPr>
      <w:r>
        <w:rPr/>
        <w:t>La Federación o la Entidad podrán dar por terminados parcial o totalmente los convenios a que se refiere este precepto, terminación que será publicada y tendrá efectos conforme al párrafo anterior.</w:t>
      </w:r>
    </w:p>
    <w:p>
      <w:pPr>
        <w:pStyle w:val="BodyText"/>
        <w:spacing w:before="1"/>
      </w:pPr>
    </w:p>
    <w:p>
      <w:pPr>
        <w:pStyle w:val="BodyText"/>
        <w:ind w:left="1" w:right="141" w:firstLine="288"/>
        <w:jc w:val="both"/>
      </w:pPr>
      <w:r>
        <w:rPr/>
        <w:t>En los convenios señalados en</w:t>
      </w:r>
      <w:r>
        <w:rPr>
          <w:spacing w:val="-2"/>
        </w:rPr>
        <w:t> </w:t>
      </w:r>
      <w:r>
        <w:rPr/>
        <w:t>este precepto se</w:t>
      </w:r>
      <w:r>
        <w:rPr>
          <w:spacing w:val="-1"/>
        </w:rPr>
        <w:t> </w:t>
      </w:r>
      <w:r>
        <w:rPr/>
        <w:t>fijarán</w:t>
      </w:r>
      <w:r>
        <w:rPr>
          <w:spacing w:val="-1"/>
        </w:rPr>
        <w:t> </w:t>
      </w:r>
      <w:r>
        <w:rPr/>
        <w:t>las percepciones que</w:t>
      </w:r>
      <w:r>
        <w:rPr>
          <w:spacing w:val="-2"/>
        </w:rPr>
        <w:t> </w:t>
      </w:r>
      <w:r>
        <w:rPr/>
        <w:t>recibirán las Entidades o sus Municipios, por las actividades de administración fiscal que realicen.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12-02-1979.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30-12-1980,</w:t>
      </w:r>
      <w:r>
        <w:rPr>
          <w:rFonts w:ascii="Times New Roman" w:hAnsi="Times New Roman"/>
          <w:i/>
          <w:color w:val="0000FF"/>
          <w:spacing w:val="-6"/>
          <w:sz w:val="16"/>
        </w:rPr>
        <w:t> </w:t>
      </w:r>
      <w:r>
        <w:rPr>
          <w:rFonts w:ascii="Times New Roman" w:hAnsi="Times New Roman"/>
          <w:i/>
          <w:color w:val="0000FF"/>
          <w:sz w:val="16"/>
        </w:rPr>
        <w:t>15-12-1995,</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7"/>
        <w:rPr>
          <w:rFonts w:ascii="Times New Roman"/>
          <w:i/>
          <w:sz w:val="16"/>
        </w:rPr>
      </w:pPr>
    </w:p>
    <w:p>
      <w:pPr>
        <w:pStyle w:val="BodyText"/>
        <w:ind w:left="1" w:right="139" w:firstLine="288"/>
        <w:jc w:val="both"/>
      </w:pPr>
      <w:bookmarkStart w:name="Artículo_14" w:id="26"/>
      <w:bookmarkEnd w:id="26"/>
      <w:r>
        <w:rPr/>
      </w:r>
      <w:r>
        <w:rPr>
          <w:rFonts w:ascii="Arial" w:hAnsi="Arial"/>
          <w:b/>
        </w:rPr>
        <w:t>Artículo 14.- </w:t>
      </w:r>
      <w:r>
        <w:rPr/>
        <w:t>Las autoridades fiscales de las entidades que se encuentren adheridas al Sistema Nacional de Coordinación Fiscal y las de sus Municipios, en su caso, serán consideradas, en el ejercicio de las facultades a que se refieren los convenios o acuerdos respectivos, como autoridades fiscales federales. En contra de los actos que realicen cuando actúen de conformidad con este precepto, sólo procederán los recursos y medios de defensa que establezcan las leyes federales.</w:t>
      </w:r>
    </w:p>
    <w:p>
      <w:pPr>
        <w:pStyle w:val="BodyText"/>
        <w:spacing w:before="3"/>
      </w:pPr>
    </w:p>
    <w:p>
      <w:pPr>
        <w:pStyle w:val="BodyText"/>
        <w:ind w:left="1" w:right="151" w:firstLine="288"/>
        <w:jc w:val="both"/>
      </w:pPr>
      <w:r>
        <w:rPr/>
        <w:t>La Secretaría de Hacienda y Crédito Público conservará la facultad de fijar a las entidades y a sus Municipios los criterios generales de interpretación y de aplicación de las disposiciones fiscales y de las reglas de colaboración administrativa que señalen los convenios y acuerdos respectivos.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1980</w:t>
      </w:r>
    </w:p>
    <w:p>
      <w:pPr>
        <w:spacing w:after="0" w:line="180" w:lineRule="exact"/>
        <w:jc w:val="right"/>
        <w:rPr>
          <w:rFonts w:ascii="Times New Roman" w:hAnsi="Times New Roman"/>
          <w:i/>
          <w:sz w:val="16"/>
        </w:rPr>
        <w:sectPr>
          <w:pgSz w:w="12250" w:h="15850"/>
          <w:pgMar w:header="724" w:footer="712" w:top="1880" w:bottom="900" w:left="1417" w:right="1275"/>
        </w:sectPr>
      </w:pPr>
    </w:p>
    <w:p>
      <w:pPr>
        <w:pStyle w:val="BodyText"/>
        <w:spacing w:before="65"/>
        <w:rPr>
          <w:rFonts w:ascii="Times New Roman"/>
          <w:i/>
        </w:rPr>
      </w:pPr>
    </w:p>
    <w:p>
      <w:pPr>
        <w:pStyle w:val="BodyText"/>
        <w:spacing w:line="242" w:lineRule="auto"/>
        <w:ind w:left="1" w:right="148" w:firstLine="288"/>
        <w:jc w:val="both"/>
      </w:pPr>
      <w:bookmarkStart w:name="Artículo_15" w:id="27"/>
      <w:bookmarkEnd w:id="27"/>
      <w:r>
        <w:rPr/>
      </w:r>
      <w:r>
        <w:rPr>
          <w:rFonts w:ascii="Arial" w:hAnsi="Arial"/>
          <w:b/>
        </w:rPr>
        <w:t>Artículo 15.- </w:t>
      </w:r>
      <w:r>
        <w:rPr/>
        <w:t>La recaudación de los ingresos federales se hará por las oficinas autorizadas por la Secretaría de Hacienda y Crédito Público o por las oficinas autorizadas por las entidades, según se establezca en los convenios o acuerdos respectivos.</w:t>
      </w:r>
    </w:p>
    <w:p>
      <w:pPr>
        <w:pStyle w:val="BodyText"/>
        <w:spacing w:before="225"/>
        <w:ind w:left="1" w:right="141" w:firstLine="288"/>
        <w:jc w:val="both"/>
      </w:pPr>
      <w:r>
        <w:rPr/>
        <w:t>Cuando la entidad recaude ingresos federales, los concentrará directamente a dicha Secretaría y rendirá cuenta pormenorizada de recaudación. La Secretaría, también directamente, hará el pago a las entidades de las cantidades que les correspondan en el Fondo establecido en el artículo 2o. y 2-A, fracción III y pondrá a su disposición la información correspondiente. Se podrá establecer, si existe acuerdo entre las partes interesadas, un procedimiento de compensación permanente.</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28-12-1989,</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1" w:right="149" w:firstLine="288"/>
        <w:jc w:val="both"/>
      </w:pPr>
      <w:r>
        <w:rPr/>
        <w:t>Las entidades coordinadas con la Federación en materia de automóviles nuevos, deberán rendir cuenta comprobada por la totalidad de la recaudación que efectúen de cada uno de estos impuestos.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31-12-1987,</w:t>
      </w:r>
      <w:r>
        <w:rPr>
          <w:rFonts w:ascii="Times New Roman" w:hAnsi="Times New Roman"/>
          <w:i/>
          <w:color w:val="0000FF"/>
          <w:spacing w:val="-9"/>
          <w:sz w:val="16"/>
        </w:rPr>
        <w:t> </w:t>
      </w:r>
      <w:r>
        <w:rPr>
          <w:rFonts w:ascii="Times New Roman" w:hAnsi="Times New Roman"/>
          <w:i/>
          <w:color w:val="0000FF"/>
          <w:sz w:val="16"/>
        </w:rPr>
        <w:t>28-12-1989,</w:t>
      </w:r>
      <w:r>
        <w:rPr>
          <w:rFonts w:ascii="Times New Roman" w:hAnsi="Times New Roman"/>
          <w:i/>
          <w:color w:val="0000FF"/>
          <w:spacing w:val="-10"/>
          <w:sz w:val="16"/>
        </w:rPr>
        <w:t> </w:t>
      </w:r>
      <w:r>
        <w:rPr>
          <w:rFonts w:ascii="Times New Roman" w:hAnsi="Times New Roman"/>
          <w:i/>
          <w:color w:val="0000FF"/>
          <w:sz w:val="16"/>
        </w:rPr>
        <w:t>26-12-1990,</w:t>
      </w:r>
      <w:r>
        <w:rPr>
          <w:rFonts w:ascii="Times New Roman" w:hAnsi="Times New Roman"/>
          <w:i/>
          <w:color w:val="0000FF"/>
          <w:spacing w:val="-9"/>
          <w:sz w:val="16"/>
        </w:rPr>
        <w:t> </w:t>
      </w:r>
      <w:r>
        <w:rPr>
          <w:rFonts w:ascii="Times New Roman" w:hAnsi="Times New Roman"/>
          <w:i/>
          <w:color w:val="0000FF"/>
          <w:sz w:val="16"/>
        </w:rPr>
        <w:t>30-12-1996,</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50"/>
        <w:rPr>
          <w:rFonts w:ascii="Times New Roman"/>
          <w:i/>
          <w:sz w:val="16"/>
        </w:rPr>
      </w:pPr>
    </w:p>
    <w:p>
      <w:pPr>
        <w:pStyle w:val="BodyText"/>
        <w:ind w:left="1" w:right="144" w:firstLine="288"/>
        <w:jc w:val="both"/>
      </w:pPr>
      <w:r>
        <w:rPr/>
        <w:t>La</w:t>
      </w:r>
      <w:r>
        <w:rPr>
          <w:spacing w:val="-2"/>
        </w:rPr>
        <w:t> </w:t>
      </w:r>
      <w:r>
        <w:rPr/>
        <w:t>falta de</w:t>
      </w:r>
      <w:r>
        <w:rPr>
          <w:spacing w:val="-1"/>
        </w:rPr>
        <w:t> </w:t>
      </w:r>
      <w:r>
        <w:rPr/>
        <w:t>entero en los plazos establecidos dará lugar a</w:t>
      </w:r>
      <w:r>
        <w:rPr>
          <w:spacing w:val="-1"/>
        </w:rPr>
        <w:t> </w:t>
      </w:r>
      <w:r>
        <w:rPr/>
        <w:t>que</w:t>
      </w:r>
      <w:r>
        <w:rPr>
          <w:spacing w:val="-1"/>
        </w:rPr>
        <w:t> </w:t>
      </w:r>
      <w:r>
        <w:rPr/>
        <w:t>las cantidades respectivas se</w:t>
      </w:r>
      <w:r>
        <w:rPr>
          <w:spacing w:val="-1"/>
        </w:rPr>
        <w:t> </w:t>
      </w:r>
      <w:r>
        <w:rPr/>
        <w:t>actualicen por inflación y</w:t>
      </w:r>
      <w:r>
        <w:rPr>
          <w:spacing w:val="-1"/>
        </w:rPr>
        <w:t> </w:t>
      </w:r>
      <w:r>
        <w:rPr/>
        <w:t>a que se causen, a cargo de la Entidad o de la Federación, intereses a la tasa de recargos que</w:t>
      </w:r>
      <w:r>
        <w:rPr>
          <w:spacing w:val="-1"/>
        </w:rPr>
        <w:t> </w:t>
      </w:r>
      <w:r>
        <w:rPr/>
        <w:t>establezca anualmente el</w:t>
      </w:r>
      <w:r>
        <w:rPr>
          <w:spacing w:val="-2"/>
        </w:rPr>
        <w:t> </w:t>
      </w:r>
      <w:r>
        <w:rPr/>
        <w:t>Congreso</w:t>
      </w:r>
      <w:r>
        <w:rPr>
          <w:spacing w:val="-1"/>
        </w:rPr>
        <w:t> </w:t>
      </w:r>
      <w:r>
        <w:rPr/>
        <w:t>de</w:t>
      </w:r>
      <w:r>
        <w:rPr>
          <w:spacing w:val="-1"/>
        </w:rPr>
        <w:t> </w:t>
      </w:r>
      <w:r>
        <w:rPr/>
        <w:t>la</w:t>
      </w:r>
      <w:r>
        <w:rPr>
          <w:spacing w:val="-1"/>
        </w:rPr>
        <w:t> </w:t>
      </w:r>
      <w:r>
        <w:rPr/>
        <w:t>Unión para</w:t>
      </w:r>
      <w:r>
        <w:rPr>
          <w:spacing w:val="-1"/>
        </w:rPr>
        <w:t> </w:t>
      </w:r>
      <w:r>
        <w:rPr/>
        <w:t>los casos de autorizaciones de pago</w:t>
      </w:r>
      <w:r>
        <w:rPr>
          <w:spacing w:val="-1"/>
        </w:rPr>
        <w:t> </w:t>
      </w:r>
      <w:r>
        <w:rPr/>
        <w:t>a</w:t>
      </w:r>
      <w:r>
        <w:rPr>
          <w:spacing w:val="-1"/>
        </w:rPr>
        <w:t> </w:t>
      </w:r>
      <w:r>
        <w:rPr/>
        <w:t>plazo de </w:t>
      </w:r>
      <w:r>
        <w:rPr>
          <w:spacing w:val="-2"/>
        </w:rPr>
        <w:t>contribuciones.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28-12-</w:t>
      </w:r>
      <w:r>
        <w:rPr>
          <w:rFonts w:ascii="Times New Roman" w:hAnsi="Times New Roman"/>
          <w:i/>
          <w:color w:val="0000FF"/>
          <w:spacing w:val="-4"/>
          <w:sz w:val="16"/>
        </w:rPr>
        <w:t>1989</w:t>
      </w:r>
    </w:p>
    <w:p>
      <w:pPr>
        <w:pStyle w:val="BodyText"/>
        <w:spacing w:before="49"/>
        <w:rPr>
          <w:rFonts w:ascii="Times New Roman"/>
          <w:i/>
          <w:sz w:val="16"/>
        </w:rPr>
      </w:pPr>
    </w:p>
    <w:p>
      <w:pPr>
        <w:pStyle w:val="BodyText"/>
        <w:spacing w:before="1"/>
        <w:ind w:left="1" w:right="146" w:firstLine="288"/>
        <w:jc w:val="both"/>
      </w:pPr>
      <w:r>
        <w:rPr/>
        <w:t>La Secretaría de Hacienda y Crédito Público podrá compensar las cantidades no concentradas por la entidad, con las cantidades que a ésta correspondan en los fondos de participaciones establecidos por esta Ley.</w:t>
      </w:r>
    </w:p>
    <w:p>
      <w:pPr>
        <w:spacing w:line="180" w:lineRule="exact" w:before="0"/>
        <w:ind w:left="4732"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12-02-1979.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1"/>
        <w:rPr>
          <w:rFonts w:ascii="Times New Roman"/>
          <w:i/>
          <w:sz w:val="12"/>
        </w:rPr>
      </w:pPr>
    </w:p>
    <w:p>
      <w:pPr>
        <w:pStyle w:val="BodyText"/>
        <w:spacing w:after="0"/>
        <w:rPr>
          <w:rFonts w:ascii="Times New Roman"/>
          <w:i/>
          <w:sz w:val="12"/>
        </w:rPr>
        <w:sectPr>
          <w:pgSz w:w="12250" w:h="15850"/>
          <w:pgMar w:header="724" w:footer="712" w:top="1880" w:bottom="900" w:left="1417" w:right="1275"/>
        </w:sectPr>
      </w:pPr>
    </w:p>
    <w:p>
      <w:pPr>
        <w:spacing w:before="93"/>
        <w:ind w:left="289" w:right="0" w:firstLine="0"/>
        <w:jc w:val="left"/>
        <w:rPr>
          <w:sz w:val="20"/>
        </w:rPr>
      </w:pPr>
      <w:bookmarkStart w:name="Artículo_15_A" w:id="28"/>
      <w:bookmarkEnd w:id="28"/>
      <w:r>
        <w:rPr/>
      </w:r>
      <w:r>
        <w:rPr>
          <w:rFonts w:ascii="Arial" w:hAnsi="Arial"/>
          <w:b/>
          <w:sz w:val="20"/>
        </w:rPr>
        <w:t>Artículo</w:t>
      </w:r>
      <w:r>
        <w:rPr>
          <w:rFonts w:ascii="Arial" w:hAnsi="Arial"/>
          <w:b/>
          <w:spacing w:val="-7"/>
          <w:sz w:val="20"/>
        </w:rPr>
        <w:t> </w:t>
      </w:r>
      <w:r>
        <w:rPr>
          <w:rFonts w:ascii="Arial" w:hAnsi="Arial"/>
          <w:b/>
          <w:sz w:val="20"/>
        </w:rPr>
        <w:t>15-A.-</w:t>
      </w:r>
      <w:r>
        <w:rPr>
          <w:rFonts w:ascii="Arial" w:hAnsi="Arial"/>
          <w:b/>
          <w:spacing w:val="-6"/>
          <w:sz w:val="20"/>
        </w:rPr>
        <w:t> </w:t>
      </w:r>
      <w:r>
        <w:rPr>
          <w:sz w:val="20"/>
        </w:rPr>
        <w:t>(Se</w:t>
      </w:r>
      <w:r>
        <w:rPr>
          <w:spacing w:val="-6"/>
          <w:sz w:val="20"/>
        </w:rPr>
        <w:t> </w:t>
      </w:r>
      <w:r>
        <w:rPr>
          <w:spacing w:val="-2"/>
          <w:sz w:val="20"/>
        </w:rPr>
        <w:t>deroga).</w:t>
      </w:r>
    </w:p>
    <w:p>
      <w:pPr>
        <w:spacing w:line="240" w:lineRule="auto" w:before="136"/>
        <w:rPr>
          <w:sz w:val="16"/>
        </w:rPr>
      </w:pPr>
      <w:r>
        <w:rPr/>
        <w:br w:type="column"/>
      </w:r>
      <w:r>
        <w:rPr>
          <w:sz w:val="16"/>
        </w:rPr>
      </w:r>
    </w:p>
    <w:p>
      <w:pPr>
        <w:spacing w:before="0"/>
        <w:ind w:left="136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31-12-1988.</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w:t>
      </w:r>
      <w:r>
        <w:rPr>
          <w:rFonts w:ascii="Times New Roman" w:hAnsi="Times New Roman"/>
          <w:i/>
          <w:color w:val="0000FF"/>
          <w:spacing w:val="-4"/>
          <w:sz w:val="16"/>
        </w:rPr>
        <w:t>1989</w:t>
      </w:r>
    </w:p>
    <w:p>
      <w:pPr>
        <w:pStyle w:val="BodyText"/>
        <w:spacing w:before="46"/>
        <w:rPr>
          <w:rFonts w:ascii="Times New Roman"/>
          <w:i/>
          <w:sz w:val="16"/>
        </w:rPr>
      </w:pPr>
    </w:p>
    <w:p>
      <w:pPr>
        <w:pStyle w:val="Heading1"/>
        <w:spacing w:before="0"/>
        <w:ind w:left="289" w:right="0"/>
        <w:jc w:val="left"/>
      </w:pPr>
      <w:r>
        <w:rPr/>
        <w:t>CAPITULO</w:t>
      </w:r>
      <w:r>
        <w:rPr>
          <w:spacing w:val="-9"/>
        </w:rPr>
        <w:t> </w:t>
      </w:r>
      <w:r>
        <w:rPr>
          <w:spacing w:val="-7"/>
        </w:rPr>
        <w:t>IV</w:t>
      </w:r>
    </w:p>
    <w:p>
      <w:pPr>
        <w:pStyle w:val="Heading1"/>
        <w:spacing w:after="0"/>
        <w:jc w:val="left"/>
        <w:sectPr>
          <w:type w:val="continuous"/>
          <w:pgSz w:w="12250" w:h="15850"/>
          <w:pgMar w:header="724" w:footer="712" w:top="1880" w:bottom="900" w:left="1417" w:right="1275"/>
          <w:cols w:num="2" w:equalWidth="0">
            <w:col w:w="2863" w:space="855"/>
            <w:col w:w="5840"/>
          </w:cols>
        </w:sectPr>
      </w:pPr>
    </w:p>
    <w:p>
      <w:pPr>
        <w:pStyle w:val="Heading2"/>
        <w:spacing w:before="1"/>
        <w:ind w:left="1156" w:right="1293"/>
      </w:pPr>
      <w:r>
        <w:rPr/>
        <w:t>De</w:t>
      </w:r>
      <w:r>
        <w:rPr>
          <w:spacing w:val="-3"/>
        </w:rPr>
        <w:t> </w:t>
      </w:r>
      <w:r>
        <w:rPr/>
        <w:t>los</w:t>
      </w:r>
      <w:r>
        <w:rPr>
          <w:spacing w:val="-5"/>
        </w:rPr>
        <w:t> </w:t>
      </w:r>
      <w:r>
        <w:rPr/>
        <w:t>Organismos</w:t>
      </w:r>
      <w:r>
        <w:rPr>
          <w:spacing w:val="-2"/>
        </w:rPr>
        <w:t> </w:t>
      </w:r>
      <w:r>
        <w:rPr/>
        <w:t>en</w:t>
      </w:r>
      <w:r>
        <w:rPr>
          <w:spacing w:val="-6"/>
        </w:rPr>
        <w:t> </w:t>
      </w:r>
      <w:r>
        <w:rPr/>
        <w:t>Materia</w:t>
      </w:r>
      <w:r>
        <w:rPr>
          <w:spacing w:val="-5"/>
        </w:rPr>
        <w:t> </w:t>
      </w:r>
      <w:r>
        <w:rPr/>
        <w:t>de</w:t>
      </w:r>
      <w:r>
        <w:rPr>
          <w:spacing w:val="-2"/>
        </w:rPr>
        <w:t> Coordinación</w:t>
      </w:r>
    </w:p>
    <w:p>
      <w:pPr>
        <w:pStyle w:val="BodyText"/>
        <w:spacing w:before="232"/>
        <w:ind w:left="1" w:right="151" w:firstLine="288"/>
        <w:jc w:val="both"/>
      </w:pPr>
      <w:bookmarkStart w:name="Artículo_16" w:id="29"/>
      <w:bookmarkEnd w:id="29"/>
      <w:r>
        <w:rPr/>
      </w:r>
      <w:r>
        <w:rPr>
          <w:rFonts w:ascii="Arial" w:hAnsi="Arial"/>
          <w:b/>
        </w:rPr>
        <w:t>Artículo 16.- </w:t>
      </w:r>
      <w:r>
        <w:rPr/>
        <w:t>El Gobierno Federal, por conducto de la Secretaría de Hacienda y Crédito Público y los gobiernos de las entidades, por medio de su órgano hacendario, participarán en el desarrollo, vigilancia y perfeccionamiento del Sistema Nacional de Coordinación Fiscal, a través de:</w:t>
      </w:r>
    </w:p>
    <w:p>
      <w:pPr>
        <w:pStyle w:val="BodyText"/>
        <w:tabs>
          <w:tab w:pos="858" w:val="left" w:leader="none"/>
        </w:tabs>
        <w:spacing w:before="229"/>
        <w:ind w:left="289"/>
      </w:pPr>
      <w:r>
        <w:rPr>
          <w:rFonts w:ascii="Arial" w:hAnsi="Arial"/>
          <w:b/>
          <w:spacing w:val="-5"/>
        </w:rPr>
        <w:t>I.-</w:t>
      </w:r>
      <w:r>
        <w:rPr>
          <w:rFonts w:ascii="Arial" w:hAnsi="Arial"/>
          <w:b/>
        </w:rPr>
        <w:tab/>
      </w:r>
      <w:r>
        <w:rPr/>
        <w:t>La</w:t>
      </w:r>
      <w:r>
        <w:rPr>
          <w:spacing w:val="-10"/>
        </w:rPr>
        <w:t> </w:t>
      </w:r>
      <w:r>
        <w:rPr/>
        <w:t>Reunión</w:t>
      </w:r>
      <w:r>
        <w:rPr>
          <w:spacing w:val="-9"/>
        </w:rPr>
        <w:t> </w:t>
      </w:r>
      <w:r>
        <w:rPr/>
        <w:t>Nacional</w:t>
      </w:r>
      <w:r>
        <w:rPr>
          <w:spacing w:val="-9"/>
        </w:rPr>
        <w:t> </w:t>
      </w:r>
      <w:r>
        <w:rPr/>
        <w:t>de</w:t>
      </w:r>
      <w:r>
        <w:rPr>
          <w:spacing w:val="-9"/>
        </w:rPr>
        <w:t> </w:t>
      </w:r>
      <w:r>
        <w:rPr/>
        <w:t>Funcionarios</w:t>
      </w:r>
      <w:r>
        <w:rPr>
          <w:spacing w:val="-9"/>
        </w:rPr>
        <w:t> </w:t>
      </w:r>
      <w:r>
        <w:rPr>
          <w:spacing w:val="-2"/>
        </w:rPr>
        <w:t>Fiscales.</w:t>
      </w:r>
    </w:p>
    <w:p>
      <w:pPr>
        <w:pStyle w:val="BodyText"/>
        <w:spacing w:before="1"/>
      </w:pPr>
    </w:p>
    <w:p>
      <w:pPr>
        <w:pStyle w:val="BodyText"/>
        <w:tabs>
          <w:tab w:pos="858" w:val="left" w:leader="none"/>
        </w:tabs>
        <w:ind w:left="289"/>
      </w:pPr>
      <w:r>
        <w:rPr>
          <w:rFonts w:ascii="Arial" w:hAnsi="Arial"/>
          <w:b/>
          <w:spacing w:val="-4"/>
        </w:rPr>
        <w:t>II.-</w:t>
      </w:r>
      <w:r>
        <w:rPr>
          <w:rFonts w:ascii="Arial" w:hAnsi="Arial"/>
          <w:b/>
        </w:rPr>
        <w:tab/>
      </w:r>
      <w:r>
        <w:rPr/>
        <w:t>La</w:t>
      </w:r>
      <w:r>
        <w:rPr>
          <w:spacing w:val="-10"/>
        </w:rPr>
        <w:t> </w:t>
      </w:r>
      <w:r>
        <w:rPr/>
        <w:t>Comisión</w:t>
      </w:r>
      <w:r>
        <w:rPr>
          <w:spacing w:val="-8"/>
        </w:rPr>
        <w:t> </w:t>
      </w:r>
      <w:r>
        <w:rPr/>
        <w:t>Permanente</w:t>
      </w:r>
      <w:r>
        <w:rPr>
          <w:spacing w:val="-7"/>
        </w:rPr>
        <w:t> </w:t>
      </w:r>
      <w:r>
        <w:rPr/>
        <w:t>de</w:t>
      </w:r>
      <w:r>
        <w:rPr>
          <w:spacing w:val="-9"/>
        </w:rPr>
        <w:t> </w:t>
      </w:r>
      <w:r>
        <w:rPr/>
        <w:t>Funcionarios</w:t>
      </w:r>
      <w:r>
        <w:rPr>
          <w:spacing w:val="-8"/>
        </w:rPr>
        <w:t> </w:t>
      </w:r>
      <w:r>
        <w:rPr>
          <w:spacing w:val="-2"/>
        </w:rPr>
        <w:t>Fiscales.</w:t>
      </w:r>
    </w:p>
    <w:p>
      <w:pPr>
        <w:pStyle w:val="BodyText"/>
        <w:tabs>
          <w:tab w:pos="858" w:val="left" w:leader="none"/>
        </w:tabs>
        <w:spacing w:before="229"/>
        <w:ind w:left="289"/>
      </w:pPr>
      <w:r>
        <w:rPr>
          <w:rFonts w:ascii="Arial" w:hAnsi="Arial"/>
          <w:b/>
          <w:spacing w:val="-2"/>
        </w:rPr>
        <w:t>III.-</w:t>
      </w:r>
      <w:r>
        <w:rPr>
          <w:rFonts w:ascii="Arial" w:hAnsi="Arial"/>
          <w:b/>
        </w:rPr>
        <w:tab/>
      </w:r>
      <w:r>
        <w:rPr/>
        <w:t>El</w:t>
      </w:r>
      <w:r>
        <w:rPr>
          <w:spacing w:val="-8"/>
        </w:rPr>
        <w:t> </w:t>
      </w:r>
      <w:r>
        <w:rPr/>
        <w:t>Instituto</w:t>
      </w:r>
      <w:r>
        <w:rPr>
          <w:spacing w:val="-6"/>
        </w:rPr>
        <w:t> </w:t>
      </w:r>
      <w:r>
        <w:rPr/>
        <w:t>para</w:t>
      </w:r>
      <w:r>
        <w:rPr>
          <w:spacing w:val="-6"/>
        </w:rPr>
        <w:t> </w:t>
      </w:r>
      <w:r>
        <w:rPr/>
        <w:t>el</w:t>
      </w:r>
      <w:r>
        <w:rPr>
          <w:spacing w:val="-8"/>
        </w:rPr>
        <w:t> </w:t>
      </w:r>
      <w:r>
        <w:rPr/>
        <w:t>Desarrollo</w:t>
      </w:r>
      <w:r>
        <w:rPr>
          <w:spacing w:val="-7"/>
        </w:rPr>
        <w:t> </w:t>
      </w:r>
      <w:r>
        <w:rPr/>
        <w:t>Técnico</w:t>
      </w:r>
      <w:r>
        <w:rPr>
          <w:spacing w:val="-6"/>
        </w:rPr>
        <w:t> </w:t>
      </w:r>
      <w:r>
        <w:rPr/>
        <w:t>de</w:t>
      </w:r>
      <w:r>
        <w:rPr>
          <w:spacing w:val="-7"/>
        </w:rPr>
        <w:t> </w:t>
      </w:r>
      <w:r>
        <w:rPr/>
        <w:t>las</w:t>
      </w:r>
      <w:r>
        <w:rPr>
          <w:spacing w:val="-7"/>
        </w:rPr>
        <w:t> </w:t>
      </w:r>
      <w:r>
        <w:rPr/>
        <w:t>Haciendas</w:t>
      </w:r>
      <w:r>
        <w:rPr>
          <w:spacing w:val="-6"/>
        </w:rPr>
        <w:t> </w:t>
      </w:r>
      <w:r>
        <w:rPr/>
        <w:t>Públicas</w:t>
      </w:r>
      <w:r>
        <w:rPr>
          <w:spacing w:val="-6"/>
        </w:rPr>
        <w:t> </w:t>
      </w:r>
      <w:r>
        <w:rPr>
          <w:spacing w:val="-2"/>
        </w:rPr>
        <w:t>(INDETEC).</w:t>
      </w:r>
    </w:p>
    <w:p>
      <w:pPr>
        <w:pStyle w:val="BodyText"/>
      </w:pPr>
    </w:p>
    <w:p>
      <w:pPr>
        <w:pStyle w:val="BodyText"/>
        <w:tabs>
          <w:tab w:pos="858" w:val="left" w:leader="none"/>
        </w:tabs>
        <w:spacing w:before="1"/>
        <w:ind w:left="289"/>
      </w:pPr>
      <w:r>
        <w:rPr>
          <w:rFonts w:ascii="Arial" w:hAnsi="Arial"/>
          <w:b/>
          <w:spacing w:val="-4"/>
        </w:rPr>
        <w:t>IV.-</w:t>
      </w:r>
      <w:r>
        <w:rPr>
          <w:rFonts w:ascii="Arial" w:hAnsi="Arial"/>
          <w:b/>
        </w:rPr>
        <w:tab/>
      </w:r>
      <w:r>
        <w:rPr/>
        <w:t>La</w:t>
      </w:r>
      <w:r>
        <w:rPr>
          <w:spacing w:val="-8"/>
        </w:rPr>
        <w:t> </w:t>
      </w:r>
      <w:r>
        <w:rPr/>
        <w:t>Junta</w:t>
      </w:r>
      <w:r>
        <w:rPr>
          <w:spacing w:val="-7"/>
        </w:rPr>
        <w:t> </w:t>
      </w:r>
      <w:r>
        <w:rPr/>
        <w:t>de</w:t>
      </w:r>
      <w:r>
        <w:rPr>
          <w:spacing w:val="-7"/>
        </w:rPr>
        <w:t> </w:t>
      </w:r>
      <w:r>
        <w:rPr/>
        <w:t>Coordinación</w:t>
      </w:r>
      <w:r>
        <w:rPr>
          <w:spacing w:val="-5"/>
        </w:rPr>
        <w:t> </w:t>
      </w:r>
      <w:r>
        <w:rPr>
          <w:spacing w:val="-2"/>
        </w:rPr>
        <w:t>Fiscal.</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w:t>
      </w:r>
      <w:r>
        <w:rPr>
          <w:rFonts w:ascii="Times New Roman" w:hAnsi="Times New Roman"/>
          <w:i/>
          <w:color w:val="0000FF"/>
          <w:spacing w:val="-4"/>
          <w:sz w:val="16"/>
        </w:rPr>
        <w:t>1989</w:t>
      </w:r>
    </w:p>
    <w:p>
      <w:pPr>
        <w:pStyle w:val="BodyText"/>
        <w:spacing w:line="242" w:lineRule="auto" w:before="229"/>
        <w:ind w:left="1" w:right="149" w:firstLine="288"/>
        <w:jc w:val="both"/>
      </w:pPr>
      <w:bookmarkStart w:name="Artículo_17" w:id="30"/>
      <w:bookmarkEnd w:id="30"/>
      <w:r>
        <w:rPr/>
      </w:r>
      <w:r>
        <w:rPr>
          <w:rFonts w:ascii="Arial" w:hAnsi="Arial"/>
          <w:b/>
        </w:rPr>
        <w:t>Artículo 17.- </w:t>
      </w:r>
      <w:r>
        <w:rPr/>
        <w:t>La Reunión Nacional de Funcionarios Fiscales se integrará por el Secretario de</w:t>
      </w:r>
      <w:r>
        <w:rPr>
          <w:spacing w:val="40"/>
        </w:rPr>
        <w:t> </w:t>
      </w:r>
      <w:r>
        <w:rPr/>
        <w:t>Hacienda y Crédito Público y por el titular del órgano hacendario de cada entidad. La Reunión será presidida conjuntamente por el Secretario de Hacienda y Crédito Público y el funcionario de mayor jerarquía presente en la Reunión, de la entidad en que ésta se lleve a cabo.</w:t>
      </w:r>
    </w:p>
    <w:p>
      <w:pPr>
        <w:pStyle w:val="BodyText"/>
        <w:spacing w:before="223"/>
        <w:ind w:left="1" w:right="140" w:firstLine="288"/>
        <w:jc w:val="both"/>
      </w:pPr>
      <w:r>
        <w:rPr/>
        <w:t>El Secretario de Hacienda y Crédito Público podrá ser suplido por el Subsecretario de Ingresos, y los titulares del área hacendaria de las entidades por la persona que al efecto designen.</w:t>
      </w:r>
    </w:p>
    <w:p>
      <w:pPr>
        <w:pStyle w:val="BodyText"/>
        <w:spacing w:after="0"/>
        <w:jc w:val="both"/>
        <w:sectPr>
          <w:type w:val="continuous"/>
          <w:pgSz w:w="12250" w:h="15850"/>
          <w:pgMar w:header="724" w:footer="712" w:top="1880" w:bottom="900" w:left="1417" w:right="1275"/>
        </w:sectPr>
      </w:pPr>
    </w:p>
    <w:p>
      <w:pPr>
        <w:pStyle w:val="BodyText"/>
        <w:spacing w:before="65"/>
      </w:pPr>
    </w:p>
    <w:p>
      <w:pPr>
        <w:pStyle w:val="BodyText"/>
        <w:spacing w:line="242" w:lineRule="auto"/>
        <w:ind w:left="1" w:right="141" w:firstLine="288"/>
        <w:jc w:val="both"/>
      </w:pPr>
      <w:bookmarkStart w:name="Artículo_18" w:id="31"/>
      <w:bookmarkEnd w:id="31"/>
      <w:r>
        <w:rPr/>
      </w:r>
      <w:r>
        <w:rPr>
          <w:rFonts w:ascii="Arial" w:hAnsi="Arial"/>
          <w:b/>
        </w:rPr>
        <w:t>Artículo 18.- </w:t>
      </w:r>
      <w:r>
        <w:rPr/>
        <w:t>La Reunión Nacional de Funcionarios Fiscales sesionará, cuando menos una vez al año en el lugar del territorio nacional que elijan sus integrantes. Será convocada por el Secretario de</w:t>
      </w:r>
      <w:r>
        <w:rPr>
          <w:spacing w:val="40"/>
        </w:rPr>
        <w:t> </w:t>
      </w:r>
      <w:r>
        <w:rPr/>
        <w:t>Hacienda y Crédito Público o por la Comisión Permanente de Funcionarios Fiscales.</w:t>
      </w:r>
    </w:p>
    <w:p>
      <w:pPr>
        <w:pStyle w:val="BodyText"/>
        <w:spacing w:before="225"/>
        <w:ind w:left="289"/>
      </w:pPr>
      <w:r>
        <w:rPr/>
        <w:t>En</w:t>
      </w:r>
      <w:r>
        <w:rPr>
          <w:spacing w:val="-5"/>
        </w:rPr>
        <w:t> </w:t>
      </w:r>
      <w:r>
        <w:rPr/>
        <w:t>la</w:t>
      </w:r>
      <w:r>
        <w:rPr>
          <w:spacing w:val="-7"/>
        </w:rPr>
        <w:t> </w:t>
      </w:r>
      <w:r>
        <w:rPr/>
        <w:t>convocatoria</w:t>
      </w:r>
      <w:r>
        <w:rPr>
          <w:spacing w:val="-6"/>
        </w:rPr>
        <w:t> </w:t>
      </w:r>
      <w:r>
        <w:rPr/>
        <w:t>se</w:t>
      </w:r>
      <w:r>
        <w:rPr>
          <w:spacing w:val="-7"/>
        </w:rPr>
        <w:t> </w:t>
      </w:r>
      <w:r>
        <w:rPr/>
        <w:t>señalarán</w:t>
      </w:r>
      <w:r>
        <w:rPr>
          <w:spacing w:val="-6"/>
        </w:rPr>
        <w:t> </w:t>
      </w:r>
      <w:r>
        <w:rPr/>
        <w:t>los</w:t>
      </w:r>
      <w:r>
        <w:rPr>
          <w:spacing w:val="-6"/>
        </w:rPr>
        <w:t> </w:t>
      </w:r>
      <w:r>
        <w:rPr/>
        <w:t>asuntos</w:t>
      </w:r>
      <w:r>
        <w:rPr>
          <w:spacing w:val="-5"/>
        </w:rPr>
        <w:t> </w:t>
      </w:r>
      <w:r>
        <w:rPr/>
        <w:t>de</w:t>
      </w:r>
      <w:r>
        <w:rPr>
          <w:spacing w:val="-5"/>
        </w:rPr>
        <w:t> </w:t>
      </w:r>
      <w:r>
        <w:rPr/>
        <w:t>que</w:t>
      </w:r>
      <w:r>
        <w:rPr>
          <w:spacing w:val="-7"/>
        </w:rPr>
        <w:t> </w:t>
      </w:r>
      <w:r>
        <w:rPr/>
        <w:t>deba</w:t>
      </w:r>
      <w:r>
        <w:rPr>
          <w:spacing w:val="-7"/>
        </w:rPr>
        <w:t> </w:t>
      </w:r>
      <w:r>
        <w:rPr/>
        <w:t>ocuparse</w:t>
      </w:r>
      <w:r>
        <w:rPr>
          <w:spacing w:val="-7"/>
        </w:rPr>
        <w:t> </w:t>
      </w:r>
      <w:r>
        <w:rPr/>
        <w:t>la</w:t>
      </w:r>
      <w:r>
        <w:rPr>
          <w:spacing w:val="-6"/>
        </w:rPr>
        <w:t> </w:t>
      </w:r>
      <w:r>
        <w:rPr>
          <w:spacing w:val="-2"/>
        </w:rPr>
        <w:t>Reunión.</w:t>
      </w:r>
    </w:p>
    <w:p>
      <w:pPr>
        <w:pStyle w:val="BodyText"/>
        <w:spacing w:before="228"/>
        <w:ind w:left="289"/>
      </w:pPr>
      <w:bookmarkStart w:name="Artículo_19" w:id="32"/>
      <w:bookmarkEnd w:id="32"/>
      <w:r>
        <w:rPr/>
      </w:r>
      <w:r>
        <w:rPr>
          <w:rFonts w:ascii="Arial" w:hAnsi="Arial"/>
          <w:b/>
        </w:rPr>
        <w:t>Artículo</w:t>
      </w:r>
      <w:r>
        <w:rPr>
          <w:rFonts w:ascii="Arial" w:hAnsi="Arial"/>
          <w:b/>
          <w:spacing w:val="-8"/>
        </w:rPr>
        <w:t> </w:t>
      </w:r>
      <w:r>
        <w:rPr>
          <w:rFonts w:ascii="Arial" w:hAnsi="Arial"/>
          <w:b/>
        </w:rPr>
        <w:t>19.-</w:t>
      </w:r>
      <w:r>
        <w:rPr>
          <w:rFonts w:ascii="Arial" w:hAnsi="Arial"/>
          <w:b/>
          <w:spacing w:val="-7"/>
        </w:rPr>
        <w:t> </w:t>
      </w:r>
      <w:r>
        <w:rPr/>
        <w:t>Serán</w:t>
      </w:r>
      <w:r>
        <w:rPr>
          <w:spacing w:val="-8"/>
        </w:rPr>
        <w:t> </w:t>
      </w:r>
      <w:r>
        <w:rPr/>
        <w:t>facultades</w:t>
      </w:r>
      <w:r>
        <w:rPr>
          <w:spacing w:val="-7"/>
        </w:rPr>
        <w:t> </w:t>
      </w:r>
      <w:r>
        <w:rPr/>
        <w:t>de</w:t>
      </w:r>
      <w:r>
        <w:rPr>
          <w:spacing w:val="-8"/>
        </w:rPr>
        <w:t> </w:t>
      </w:r>
      <w:r>
        <w:rPr/>
        <w:t>la</w:t>
      </w:r>
      <w:r>
        <w:rPr>
          <w:spacing w:val="-6"/>
        </w:rPr>
        <w:t> </w:t>
      </w:r>
      <w:r>
        <w:rPr/>
        <w:t>Reunión</w:t>
      </w:r>
      <w:r>
        <w:rPr>
          <w:spacing w:val="-8"/>
        </w:rPr>
        <w:t> </w:t>
      </w:r>
      <w:r>
        <w:rPr/>
        <w:t>Nacional</w:t>
      </w:r>
      <w:r>
        <w:rPr>
          <w:spacing w:val="-7"/>
        </w:rPr>
        <w:t> </w:t>
      </w:r>
      <w:r>
        <w:rPr/>
        <w:t>de</w:t>
      </w:r>
      <w:r>
        <w:rPr>
          <w:spacing w:val="-9"/>
        </w:rPr>
        <w:t> </w:t>
      </w:r>
      <w:r>
        <w:rPr/>
        <w:t>Funcionarios</w:t>
      </w:r>
      <w:r>
        <w:rPr>
          <w:spacing w:val="-8"/>
        </w:rPr>
        <w:t> </w:t>
      </w:r>
      <w:r>
        <w:rPr>
          <w:spacing w:val="-2"/>
        </w:rPr>
        <w:t>Fiscales:</w:t>
      </w:r>
    </w:p>
    <w:p>
      <w:pPr>
        <w:pStyle w:val="BodyText"/>
        <w:spacing w:line="242" w:lineRule="auto" w:before="229"/>
        <w:ind w:left="858" w:right="149" w:hanging="569"/>
        <w:jc w:val="both"/>
      </w:pPr>
      <w:r>
        <w:rPr>
          <w:rFonts w:ascii="Arial" w:hAnsi="Arial"/>
          <w:b/>
        </w:rPr>
        <w:t>I.-</w:t>
      </w:r>
      <w:r>
        <w:rPr>
          <w:rFonts w:ascii="Arial" w:hAnsi="Arial"/>
          <w:b/>
          <w:spacing w:val="80"/>
          <w:w w:val="150"/>
        </w:rPr>
        <w:t> </w:t>
      </w:r>
      <w:r>
        <w:rPr/>
        <w:t>Aprobar los reglamentos de funcionamiento de la propia Reunión Nacional, de la Comisión Permanente</w:t>
      </w:r>
      <w:r>
        <w:rPr>
          <w:spacing w:val="-2"/>
        </w:rPr>
        <w:t> </w:t>
      </w:r>
      <w:r>
        <w:rPr/>
        <w:t>de</w:t>
      </w:r>
      <w:r>
        <w:rPr>
          <w:spacing w:val="-2"/>
        </w:rPr>
        <w:t> </w:t>
      </w:r>
      <w:r>
        <w:rPr/>
        <w:t>Funcionarios</w:t>
      </w:r>
      <w:r>
        <w:rPr>
          <w:spacing w:val="-3"/>
        </w:rPr>
        <w:t> </w:t>
      </w:r>
      <w:r>
        <w:rPr/>
        <w:t>Fiscales</w:t>
      </w:r>
      <w:r>
        <w:rPr>
          <w:spacing w:val="-1"/>
        </w:rPr>
        <w:t> </w:t>
      </w:r>
      <w:r>
        <w:rPr/>
        <w:t>y</w:t>
      </w:r>
      <w:r>
        <w:rPr>
          <w:spacing w:val="-5"/>
        </w:rPr>
        <w:t> </w:t>
      </w:r>
      <w:r>
        <w:rPr/>
        <w:t>de</w:t>
      </w:r>
      <w:r>
        <w:rPr>
          <w:spacing w:val="-4"/>
        </w:rPr>
        <w:t> </w:t>
      </w:r>
      <w:r>
        <w:rPr/>
        <w:t>sus</w:t>
      </w:r>
      <w:r>
        <w:rPr>
          <w:spacing w:val="-1"/>
        </w:rPr>
        <w:t> </w:t>
      </w:r>
      <w:r>
        <w:rPr/>
        <w:t>grupos</w:t>
      </w:r>
      <w:r>
        <w:rPr>
          <w:spacing w:val="-3"/>
        </w:rPr>
        <w:t> </w:t>
      </w:r>
      <w:r>
        <w:rPr/>
        <w:t>de</w:t>
      </w:r>
      <w:r>
        <w:rPr>
          <w:spacing w:val="-3"/>
        </w:rPr>
        <w:t> </w:t>
      </w:r>
      <w:r>
        <w:rPr/>
        <w:t>trabajo,</w:t>
      </w:r>
      <w:r>
        <w:rPr>
          <w:spacing w:val="-2"/>
        </w:rPr>
        <w:t> </w:t>
      </w:r>
      <w:r>
        <w:rPr/>
        <w:t>del</w:t>
      </w:r>
      <w:r>
        <w:rPr>
          <w:spacing w:val="-3"/>
        </w:rPr>
        <w:t> </w:t>
      </w:r>
      <w:r>
        <w:rPr/>
        <w:t>Instituto</w:t>
      </w:r>
      <w:r>
        <w:rPr>
          <w:spacing w:val="-2"/>
        </w:rPr>
        <w:t> </w:t>
      </w:r>
      <w:r>
        <w:rPr/>
        <w:t>para</w:t>
      </w:r>
      <w:r>
        <w:rPr>
          <w:spacing w:val="-4"/>
        </w:rPr>
        <w:t> </w:t>
      </w:r>
      <w:r>
        <w:rPr/>
        <w:t>el</w:t>
      </w:r>
      <w:r>
        <w:rPr>
          <w:spacing w:val="-3"/>
        </w:rPr>
        <w:t> </w:t>
      </w:r>
      <w:r>
        <w:rPr/>
        <w:t>Desarrollo Técnico de las Haciendas Públicas y de la Junta de Coordinación Fiscal.</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20-12-1991,</w:t>
      </w:r>
      <w:r>
        <w:rPr>
          <w:rFonts w:ascii="Times New Roman" w:hAnsi="Times New Roman"/>
          <w:i/>
          <w:color w:val="0000FF"/>
          <w:spacing w:val="-7"/>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4"/>
        <w:rPr>
          <w:rFonts w:ascii="Times New Roman"/>
          <w:i/>
          <w:sz w:val="16"/>
        </w:rPr>
      </w:pPr>
    </w:p>
    <w:p>
      <w:pPr>
        <w:pStyle w:val="BodyText"/>
        <w:spacing w:line="242" w:lineRule="auto" w:before="1"/>
        <w:ind w:left="858" w:right="152" w:hanging="569"/>
        <w:jc w:val="both"/>
      </w:pPr>
      <w:r>
        <w:rPr>
          <w:rFonts w:ascii="Arial" w:hAnsi="Arial"/>
          <w:b/>
        </w:rPr>
        <w:t>II.-</w:t>
      </w:r>
      <w:r>
        <w:rPr>
          <w:rFonts w:ascii="Arial" w:hAnsi="Arial"/>
          <w:b/>
          <w:spacing w:val="80"/>
        </w:rPr>
        <w:t> </w:t>
      </w:r>
      <w:r>
        <w:rPr/>
        <w:t>Establecer, en su caso, las aportaciones ordinarias y extraordinarias que deban cubrir la Federación y</w:t>
      </w:r>
      <w:r>
        <w:rPr>
          <w:spacing w:val="-3"/>
        </w:rPr>
        <w:t> </w:t>
      </w:r>
      <w:r>
        <w:rPr/>
        <w:t>las entidades, para el</w:t>
      </w:r>
      <w:r>
        <w:rPr>
          <w:spacing w:val="-1"/>
        </w:rPr>
        <w:t> </w:t>
      </w:r>
      <w:r>
        <w:rPr/>
        <w:t>sostenimiento de los órganos citados en la fracción</w:t>
      </w:r>
      <w:r>
        <w:rPr>
          <w:spacing w:val="-1"/>
        </w:rPr>
        <w:t> </w:t>
      </w:r>
      <w:r>
        <w:rPr/>
        <w:t>anterior.</w:t>
      </w:r>
    </w:p>
    <w:p>
      <w:pPr>
        <w:pStyle w:val="BodyText"/>
        <w:spacing w:line="242" w:lineRule="auto" w:before="226"/>
        <w:ind w:left="858" w:right="150" w:hanging="569"/>
        <w:jc w:val="both"/>
      </w:pPr>
      <w:r>
        <w:rPr>
          <w:rFonts w:ascii="Arial" w:hAnsi="Arial"/>
          <w:b/>
        </w:rPr>
        <w:t>III.-</w:t>
      </w:r>
      <w:r>
        <w:rPr>
          <w:rFonts w:ascii="Arial" w:hAnsi="Arial"/>
          <w:b/>
          <w:spacing w:val="80"/>
          <w:w w:val="150"/>
        </w:rPr>
        <w:t> </w:t>
      </w:r>
      <w:r>
        <w:rPr/>
        <w:t>Fungir</w:t>
      </w:r>
      <w:r>
        <w:rPr>
          <w:spacing w:val="40"/>
        </w:rPr>
        <w:t> </w:t>
      </w:r>
      <w:r>
        <w:rPr/>
        <w:t>como</w:t>
      </w:r>
      <w:r>
        <w:rPr>
          <w:spacing w:val="40"/>
        </w:rPr>
        <w:t> </w:t>
      </w:r>
      <w:r>
        <w:rPr/>
        <w:t>asamblea</w:t>
      </w:r>
      <w:r>
        <w:rPr>
          <w:spacing w:val="40"/>
        </w:rPr>
        <w:t> </w:t>
      </w:r>
      <w:r>
        <w:rPr/>
        <w:t>general</w:t>
      </w:r>
      <w:r>
        <w:rPr>
          <w:spacing w:val="40"/>
        </w:rPr>
        <w:t> </w:t>
      </w:r>
      <w:r>
        <w:rPr/>
        <w:t>del</w:t>
      </w:r>
      <w:r>
        <w:rPr>
          <w:spacing w:val="40"/>
        </w:rPr>
        <w:t> </w:t>
      </w:r>
      <w:r>
        <w:rPr/>
        <w:t>Instituto</w:t>
      </w:r>
      <w:r>
        <w:rPr>
          <w:spacing w:val="40"/>
        </w:rPr>
        <w:t> </w:t>
      </w:r>
      <w:r>
        <w:rPr/>
        <w:t>para</w:t>
      </w:r>
      <w:r>
        <w:rPr>
          <w:spacing w:val="40"/>
        </w:rPr>
        <w:t> </w:t>
      </w:r>
      <w:r>
        <w:rPr/>
        <w:t>el</w:t>
      </w:r>
      <w:r>
        <w:rPr>
          <w:spacing w:val="40"/>
        </w:rPr>
        <w:t> </w:t>
      </w:r>
      <w:r>
        <w:rPr/>
        <w:t>Desarrollo</w:t>
      </w:r>
      <w:r>
        <w:rPr>
          <w:spacing w:val="40"/>
        </w:rPr>
        <w:t> </w:t>
      </w:r>
      <w:r>
        <w:rPr/>
        <w:t>Técnico</w:t>
      </w:r>
      <w:r>
        <w:rPr>
          <w:spacing w:val="40"/>
        </w:rPr>
        <w:t> </w:t>
      </w:r>
      <w:r>
        <w:rPr/>
        <w:t>de</w:t>
      </w:r>
      <w:r>
        <w:rPr>
          <w:spacing w:val="40"/>
        </w:rPr>
        <w:t> </w:t>
      </w:r>
      <w:r>
        <w:rPr/>
        <w:t>las</w:t>
      </w:r>
      <w:r>
        <w:rPr>
          <w:spacing w:val="40"/>
        </w:rPr>
        <w:t> </w:t>
      </w:r>
      <w:r>
        <w:rPr/>
        <w:t>Haciendas Públicas y aprobar sus presupuestos y programas.</w:t>
      </w:r>
    </w:p>
    <w:p>
      <w:pPr>
        <w:pStyle w:val="BodyText"/>
        <w:spacing w:line="242" w:lineRule="auto" w:before="225"/>
        <w:ind w:left="858" w:right="141" w:hanging="569"/>
        <w:jc w:val="both"/>
      </w:pPr>
      <w:r>
        <w:rPr>
          <w:rFonts w:ascii="Arial" w:hAnsi="Arial"/>
          <w:b/>
        </w:rPr>
        <w:t>IV.-</w:t>
      </w:r>
      <w:r>
        <w:rPr>
          <w:rFonts w:ascii="Arial" w:hAnsi="Arial"/>
          <w:b/>
          <w:spacing w:val="40"/>
        </w:rPr>
        <w:t>  </w:t>
      </w:r>
      <w:r>
        <w:rPr/>
        <w:t>Proponer al Ejecutivo Federal por conducto de la Secretaría de Hacienda y Crédito Público y a los Gobiernos de las Entidades por conducto del titular de su órgano hacendario, las medidas que estime convenientes para actualizar o mejorar el Sistema Nacional de Coordinación Fiscal.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4"/>
        <w:rPr>
          <w:rFonts w:ascii="Times New Roman"/>
          <w:i/>
          <w:sz w:val="16"/>
        </w:rPr>
      </w:pPr>
    </w:p>
    <w:p>
      <w:pPr>
        <w:pStyle w:val="BodyText"/>
        <w:spacing w:line="242" w:lineRule="auto" w:before="1"/>
        <w:ind w:left="1" w:right="144" w:firstLine="288"/>
        <w:jc w:val="both"/>
      </w:pPr>
      <w:bookmarkStart w:name="Artículo_20" w:id="33"/>
      <w:bookmarkEnd w:id="33"/>
      <w:r>
        <w:rPr/>
      </w:r>
      <w:r>
        <w:rPr>
          <w:rFonts w:ascii="Arial" w:hAnsi="Arial"/>
          <w:b/>
        </w:rPr>
        <w:t>Artículo 20.- </w:t>
      </w:r>
      <w:r>
        <w:rPr/>
        <w:t>La Comisión Permanente de Funcionarios Fiscales se integrará conforme a las siguientes reglas:</w:t>
      </w:r>
    </w:p>
    <w:p>
      <w:pPr>
        <w:pStyle w:val="BodyText"/>
        <w:spacing w:before="227"/>
        <w:ind w:left="858" w:right="139" w:hanging="569"/>
        <w:jc w:val="both"/>
      </w:pPr>
      <w:r>
        <w:rPr>
          <w:rFonts w:ascii="Arial" w:hAnsi="Arial"/>
          <w:b/>
        </w:rPr>
        <w:t>I.-</w:t>
      </w:r>
      <w:r>
        <w:rPr>
          <w:rFonts w:ascii="Arial" w:hAnsi="Arial"/>
          <w:b/>
          <w:spacing w:val="40"/>
        </w:rPr>
        <w:t>  </w:t>
      </w:r>
      <w:r>
        <w:rPr/>
        <w:t>Estará formada por la Secretaría de Hacienda y Crédito Público y por ocho entidades. Será presidida conjuntamente por el Secretario de Hacienda y Crédito Público, que podrá ser suplido por el Subsecretario de Ingresos de dicha Secretaría, y por el titular del órgano hacendario que elija la Comisión entre sus miembros. En esta elección no participará la Secretaría de Hacienda y Crédito Público.</w:t>
      </w:r>
    </w:p>
    <w:p>
      <w:pPr>
        <w:pStyle w:val="BodyText"/>
        <w:spacing w:line="242" w:lineRule="auto" w:before="230"/>
        <w:ind w:left="858" w:right="149" w:hanging="569"/>
        <w:jc w:val="both"/>
      </w:pPr>
      <w:r>
        <w:rPr>
          <w:rFonts w:ascii="Arial" w:hAnsi="Arial"/>
          <w:b/>
        </w:rPr>
        <w:t>II.-</w:t>
      </w:r>
      <w:r>
        <w:rPr>
          <w:rFonts w:ascii="Arial" w:hAnsi="Arial"/>
          <w:b/>
          <w:spacing w:val="80"/>
        </w:rPr>
        <w:t>  </w:t>
      </w:r>
      <w:r>
        <w:rPr/>
        <w:t>Las entidades estarán representadas por las ocho que al efecto elijan, las cuales actuarán a través del titular de su órgano hacendario o por la persona que éste designe para suplirlo.</w:t>
      </w:r>
    </w:p>
    <w:p>
      <w:pPr>
        <w:pStyle w:val="BodyText"/>
        <w:tabs>
          <w:tab w:pos="858" w:val="left" w:leader="none"/>
        </w:tabs>
        <w:spacing w:line="242" w:lineRule="auto" w:before="224"/>
        <w:ind w:left="858" w:right="153" w:hanging="569"/>
      </w:pPr>
      <w:r>
        <w:rPr>
          <w:rFonts w:ascii="Arial" w:hAnsi="Arial"/>
          <w:b/>
          <w:spacing w:val="-2"/>
        </w:rPr>
        <w:t>III.-</w:t>
      </w:r>
      <w:r>
        <w:rPr>
          <w:rFonts w:ascii="Arial" w:hAnsi="Arial"/>
          <w:b/>
        </w:rPr>
        <w:tab/>
      </w:r>
      <w:r>
        <w:rPr/>
        <w:t>Las entidades que integren la Comisión Permanente serán elegidas por cada uno de los grupos que a continuación se expresan, debiendo representarlos en forma rotativa:</w:t>
      </w:r>
    </w:p>
    <w:p>
      <w:pPr>
        <w:pStyle w:val="BodyText"/>
        <w:spacing w:line="480" w:lineRule="auto" w:before="229"/>
        <w:ind w:left="1417" w:right="1351"/>
      </w:pPr>
      <w:r>
        <w:rPr/>
        <w:t>GRUPO</w:t>
      </w:r>
      <w:r>
        <w:rPr>
          <w:spacing w:val="-5"/>
        </w:rPr>
        <w:t> </w:t>
      </w:r>
      <w:r>
        <w:rPr/>
        <w:t>UNO:</w:t>
      </w:r>
      <w:r>
        <w:rPr>
          <w:spacing w:val="-3"/>
        </w:rPr>
        <w:t> </w:t>
      </w:r>
      <w:r>
        <w:rPr/>
        <w:t>Baja</w:t>
      </w:r>
      <w:r>
        <w:rPr>
          <w:spacing w:val="-5"/>
        </w:rPr>
        <w:t> </w:t>
      </w:r>
      <w:r>
        <w:rPr/>
        <w:t>California,</w:t>
      </w:r>
      <w:r>
        <w:rPr>
          <w:spacing w:val="-3"/>
        </w:rPr>
        <w:t> </w:t>
      </w:r>
      <w:r>
        <w:rPr/>
        <w:t>Baja</w:t>
      </w:r>
      <w:r>
        <w:rPr>
          <w:spacing w:val="-3"/>
        </w:rPr>
        <w:t> </w:t>
      </w:r>
      <w:r>
        <w:rPr/>
        <w:t>California</w:t>
      </w:r>
      <w:r>
        <w:rPr>
          <w:spacing w:val="-5"/>
        </w:rPr>
        <w:t> </w:t>
      </w:r>
      <w:r>
        <w:rPr/>
        <w:t>Sur,</w:t>
      </w:r>
      <w:r>
        <w:rPr>
          <w:spacing w:val="-5"/>
        </w:rPr>
        <w:t> </w:t>
      </w:r>
      <w:r>
        <w:rPr/>
        <w:t>Sonora</w:t>
      </w:r>
      <w:r>
        <w:rPr>
          <w:spacing w:val="-1"/>
        </w:rPr>
        <w:t> </w:t>
      </w:r>
      <w:r>
        <w:rPr/>
        <w:t>y</w:t>
      </w:r>
      <w:r>
        <w:rPr>
          <w:spacing w:val="-8"/>
        </w:rPr>
        <w:t> </w:t>
      </w:r>
      <w:r>
        <w:rPr/>
        <w:t>Sinaloa. GRUPO DOS: Chihuahua, Coahuila, Durango y Zacatecas.</w:t>
      </w:r>
    </w:p>
    <w:p>
      <w:pPr>
        <w:pStyle w:val="BodyText"/>
        <w:ind w:left="1417"/>
      </w:pPr>
      <w:r>
        <w:rPr/>
        <w:t>GRUPO</w:t>
      </w:r>
      <w:r>
        <w:rPr>
          <w:spacing w:val="-8"/>
        </w:rPr>
        <w:t> </w:t>
      </w:r>
      <w:r>
        <w:rPr/>
        <w:t>TRES:</w:t>
      </w:r>
      <w:r>
        <w:rPr>
          <w:spacing w:val="-6"/>
        </w:rPr>
        <w:t> </w:t>
      </w:r>
      <w:r>
        <w:rPr/>
        <w:t>Hidalgo,</w:t>
      </w:r>
      <w:r>
        <w:rPr>
          <w:spacing w:val="-8"/>
        </w:rPr>
        <w:t> </w:t>
      </w:r>
      <w:r>
        <w:rPr/>
        <w:t>Nuevo</w:t>
      </w:r>
      <w:r>
        <w:rPr>
          <w:spacing w:val="-8"/>
        </w:rPr>
        <w:t> </w:t>
      </w:r>
      <w:r>
        <w:rPr/>
        <w:t>León,</w:t>
      </w:r>
      <w:r>
        <w:rPr>
          <w:spacing w:val="-6"/>
        </w:rPr>
        <w:t> </w:t>
      </w:r>
      <w:r>
        <w:rPr/>
        <w:t>Tamaulipas</w:t>
      </w:r>
      <w:r>
        <w:rPr>
          <w:spacing w:val="-5"/>
        </w:rPr>
        <w:t> </w:t>
      </w:r>
      <w:r>
        <w:rPr/>
        <w:t>y</w:t>
      </w:r>
      <w:r>
        <w:rPr>
          <w:spacing w:val="-10"/>
        </w:rPr>
        <w:t> </w:t>
      </w:r>
      <w:r>
        <w:rPr>
          <w:spacing w:val="-2"/>
        </w:rPr>
        <w:t>Tlaxcala.</w:t>
      </w:r>
    </w:p>
    <w:p>
      <w:pPr>
        <w:pStyle w:val="BodyText"/>
      </w:pPr>
    </w:p>
    <w:p>
      <w:pPr>
        <w:pStyle w:val="BodyText"/>
        <w:spacing w:line="228" w:lineRule="exact" w:before="1"/>
        <w:ind w:left="1417"/>
      </w:pPr>
      <w:r>
        <w:rPr/>
        <w:t>GRUPO</w:t>
      </w:r>
      <w:r>
        <w:rPr>
          <w:spacing w:val="-9"/>
        </w:rPr>
        <w:t> </w:t>
      </w:r>
      <w:r>
        <w:rPr/>
        <w:t>CUATRO:</w:t>
      </w:r>
      <w:r>
        <w:rPr>
          <w:spacing w:val="-8"/>
        </w:rPr>
        <w:t> </w:t>
      </w:r>
      <w:r>
        <w:rPr/>
        <w:t>Aguascalientes,</w:t>
      </w:r>
      <w:r>
        <w:rPr>
          <w:spacing w:val="-9"/>
        </w:rPr>
        <w:t> </w:t>
      </w:r>
      <w:r>
        <w:rPr/>
        <w:t>Colima,</w:t>
      </w:r>
      <w:r>
        <w:rPr>
          <w:spacing w:val="-8"/>
        </w:rPr>
        <w:t> </w:t>
      </w:r>
      <w:r>
        <w:rPr/>
        <w:t>Jalisco</w:t>
      </w:r>
      <w:r>
        <w:rPr>
          <w:spacing w:val="-5"/>
        </w:rPr>
        <w:t> </w:t>
      </w:r>
      <w:r>
        <w:rPr/>
        <w:t>y</w:t>
      </w:r>
      <w:r>
        <w:rPr>
          <w:spacing w:val="-10"/>
        </w:rPr>
        <w:t> </w:t>
      </w:r>
      <w:r>
        <w:rPr>
          <w:spacing w:val="-2"/>
        </w:rPr>
        <w:t>Nayarit.</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12-02-</w:t>
      </w:r>
      <w:r>
        <w:rPr>
          <w:rFonts w:ascii="Times New Roman" w:hAnsi="Times New Roman"/>
          <w:i/>
          <w:color w:val="0000FF"/>
          <w:spacing w:val="-4"/>
          <w:sz w:val="16"/>
        </w:rPr>
        <w:t>1979</w:t>
      </w:r>
    </w:p>
    <w:p>
      <w:pPr>
        <w:pStyle w:val="BodyText"/>
        <w:spacing w:before="49"/>
        <w:rPr>
          <w:rFonts w:ascii="Times New Roman"/>
          <w:i/>
          <w:sz w:val="16"/>
        </w:rPr>
      </w:pPr>
    </w:p>
    <w:p>
      <w:pPr>
        <w:pStyle w:val="BodyText"/>
        <w:spacing w:line="480" w:lineRule="auto"/>
        <w:ind w:left="1417" w:right="1351"/>
      </w:pPr>
      <w:r>
        <w:rPr/>
        <w:t>GRUPO</w:t>
      </w:r>
      <w:r>
        <w:rPr>
          <w:spacing w:val="-6"/>
        </w:rPr>
        <w:t> </w:t>
      </w:r>
      <w:r>
        <w:rPr/>
        <w:t>CINCO:</w:t>
      </w:r>
      <w:r>
        <w:rPr>
          <w:spacing w:val="-4"/>
        </w:rPr>
        <w:t> </w:t>
      </w:r>
      <w:r>
        <w:rPr/>
        <w:t>Guanajuato,</w:t>
      </w:r>
      <w:r>
        <w:rPr>
          <w:spacing w:val="-6"/>
        </w:rPr>
        <w:t> </w:t>
      </w:r>
      <w:r>
        <w:rPr/>
        <w:t>Michoacán,</w:t>
      </w:r>
      <w:r>
        <w:rPr>
          <w:spacing w:val="-6"/>
        </w:rPr>
        <w:t> </w:t>
      </w:r>
      <w:r>
        <w:rPr/>
        <w:t>Querétaro</w:t>
      </w:r>
      <w:r>
        <w:rPr>
          <w:spacing w:val="-1"/>
        </w:rPr>
        <w:t> </w:t>
      </w:r>
      <w:r>
        <w:rPr/>
        <w:t>y</w:t>
      </w:r>
      <w:r>
        <w:rPr>
          <w:spacing w:val="-7"/>
        </w:rPr>
        <w:t> </w:t>
      </w:r>
      <w:r>
        <w:rPr/>
        <w:t>San</w:t>
      </w:r>
      <w:r>
        <w:rPr>
          <w:spacing w:val="-4"/>
        </w:rPr>
        <w:t> </w:t>
      </w:r>
      <w:r>
        <w:rPr/>
        <w:t>Luis</w:t>
      </w:r>
      <w:r>
        <w:rPr>
          <w:spacing w:val="-5"/>
        </w:rPr>
        <w:t> </w:t>
      </w:r>
      <w:r>
        <w:rPr/>
        <w:t>Potosí. GRUPO SEIS: Distrito Federal, Guerrero, México y Morelos.</w:t>
      </w:r>
    </w:p>
    <w:p>
      <w:pPr>
        <w:pStyle w:val="BodyText"/>
        <w:spacing w:line="229" w:lineRule="exact"/>
        <w:ind w:left="1417"/>
      </w:pPr>
      <w:r>
        <w:rPr/>
        <w:t>GRUPO</w:t>
      </w:r>
      <w:r>
        <w:rPr>
          <w:spacing w:val="-8"/>
        </w:rPr>
        <w:t> </w:t>
      </w:r>
      <w:r>
        <w:rPr/>
        <w:t>SIETE:</w:t>
      </w:r>
      <w:r>
        <w:rPr>
          <w:spacing w:val="-7"/>
        </w:rPr>
        <w:t> </w:t>
      </w:r>
      <w:r>
        <w:rPr/>
        <w:t>Chiapas,</w:t>
      </w:r>
      <w:r>
        <w:rPr>
          <w:spacing w:val="-6"/>
        </w:rPr>
        <w:t> </w:t>
      </w:r>
      <w:r>
        <w:rPr/>
        <w:t>Oaxaca,</w:t>
      </w:r>
      <w:r>
        <w:rPr>
          <w:spacing w:val="-6"/>
        </w:rPr>
        <w:t> </w:t>
      </w:r>
      <w:r>
        <w:rPr/>
        <w:t>Puebla</w:t>
      </w:r>
      <w:r>
        <w:rPr>
          <w:spacing w:val="-3"/>
        </w:rPr>
        <w:t> </w:t>
      </w:r>
      <w:r>
        <w:rPr/>
        <w:t>y</w:t>
      </w:r>
      <w:r>
        <w:rPr>
          <w:spacing w:val="-9"/>
        </w:rPr>
        <w:t> </w:t>
      </w:r>
      <w:r>
        <w:rPr>
          <w:spacing w:val="-2"/>
        </w:rPr>
        <w:t>Veracruz.</w:t>
      </w:r>
    </w:p>
    <w:p>
      <w:pPr>
        <w:pStyle w:val="BodyText"/>
        <w:spacing w:after="0" w:line="229" w:lineRule="exact"/>
        <w:sectPr>
          <w:pgSz w:w="12250" w:h="15850"/>
          <w:pgMar w:header="724" w:footer="712" w:top="1880" w:bottom="900" w:left="1417" w:right="1275"/>
        </w:sectPr>
      </w:pPr>
    </w:p>
    <w:p>
      <w:pPr>
        <w:pStyle w:val="BodyText"/>
      </w:pPr>
    </w:p>
    <w:p>
      <w:pPr>
        <w:pStyle w:val="BodyText"/>
        <w:spacing w:before="68"/>
      </w:pPr>
    </w:p>
    <w:p>
      <w:pPr>
        <w:pStyle w:val="BodyText"/>
        <w:ind w:left="1417"/>
      </w:pPr>
      <w:r>
        <w:rPr/>
        <w:t>GRUPO</w:t>
      </w:r>
      <w:r>
        <w:rPr>
          <w:spacing w:val="-8"/>
        </w:rPr>
        <w:t> </w:t>
      </w:r>
      <w:r>
        <w:rPr/>
        <w:t>OCHO:</w:t>
      </w:r>
      <w:r>
        <w:rPr>
          <w:spacing w:val="-7"/>
        </w:rPr>
        <w:t> </w:t>
      </w:r>
      <w:r>
        <w:rPr/>
        <w:t>Campeche,</w:t>
      </w:r>
      <w:r>
        <w:rPr>
          <w:spacing w:val="-7"/>
        </w:rPr>
        <w:t> </w:t>
      </w:r>
      <w:r>
        <w:rPr/>
        <w:t>Quintana</w:t>
      </w:r>
      <w:r>
        <w:rPr>
          <w:spacing w:val="-8"/>
        </w:rPr>
        <w:t> </w:t>
      </w:r>
      <w:r>
        <w:rPr/>
        <w:t>Roo,</w:t>
      </w:r>
      <w:r>
        <w:rPr>
          <w:spacing w:val="-7"/>
        </w:rPr>
        <w:t> </w:t>
      </w:r>
      <w:r>
        <w:rPr/>
        <w:t>Tabasco</w:t>
      </w:r>
      <w:r>
        <w:rPr>
          <w:spacing w:val="-6"/>
        </w:rPr>
        <w:t> </w:t>
      </w:r>
      <w:r>
        <w:rPr/>
        <w:t>y</w:t>
      </w:r>
      <w:r>
        <w:rPr>
          <w:spacing w:val="-8"/>
        </w:rPr>
        <w:t> </w:t>
      </w:r>
      <w:r>
        <w:rPr>
          <w:spacing w:val="-2"/>
        </w:rPr>
        <w:t>Yucatán.</w:t>
      </w:r>
    </w:p>
    <w:p>
      <w:pPr>
        <w:pStyle w:val="BodyText"/>
        <w:spacing w:before="228"/>
        <w:ind w:left="858" w:right="139"/>
        <w:jc w:val="both"/>
      </w:pPr>
      <w:r>
        <w:rPr/>
        <w:t>Con base en un análisis de las características socio-económicas y geográficas que tengan las entidades federativas, cada 10 años, la Comisión Permanente de Funcionarios Fiscales podrá proponer a</w:t>
      </w:r>
      <w:r>
        <w:rPr>
          <w:spacing w:val="-1"/>
        </w:rPr>
        <w:t> </w:t>
      </w:r>
      <w:r>
        <w:rPr/>
        <w:t>la</w:t>
      </w:r>
      <w:r>
        <w:rPr>
          <w:spacing w:val="-1"/>
        </w:rPr>
        <w:t> </w:t>
      </w:r>
      <w:r>
        <w:rPr/>
        <w:t>Reunión</w:t>
      </w:r>
      <w:r>
        <w:rPr>
          <w:spacing w:val="-2"/>
        </w:rPr>
        <w:t> </w:t>
      </w:r>
      <w:r>
        <w:rPr/>
        <w:t>Nacional</w:t>
      </w:r>
      <w:r>
        <w:rPr>
          <w:spacing w:val="-2"/>
        </w:rPr>
        <w:t> </w:t>
      </w:r>
      <w:r>
        <w:rPr/>
        <w:t>de</w:t>
      </w:r>
      <w:r>
        <w:rPr>
          <w:spacing w:val="-2"/>
        </w:rPr>
        <w:t> </w:t>
      </w:r>
      <w:r>
        <w:rPr/>
        <w:t>Funcionarios Fiscales una</w:t>
      </w:r>
      <w:r>
        <w:rPr>
          <w:spacing w:val="-1"/>
        </w:rPr>
        <w:t> </w:t>
      </w:r>
      <w:r>
        <w:rPr/>
        <w:t>reclasificación</w:t>
      </w:r>
      <w:r>
        <w:rPr>
          <w:spacing w:val="-2"/>
        </w:rPr>
        <w:t> </w:t>
      </w:r>
      <w:r>
        <w:rPr/>
        <w:t>de</w:t>
      </w:r>
      <w:r>
        <w:rPr>
          <w:spacing w:val="-1"/>
        </w:rPr>
        <w:t> </w:t>
      </w:r>
      <w:r>
        <w:rPr/>
        <w:t>los ocho</w:t>
      </w:r>
      <w:r>
        <w:rPr>
          <w:spacing w:val="-2"/>
        </w:rPr>
        <w:t> </w:t>
      </w:r>
      <w:r>
        <w:rPr/>
        <w:t>grupos señalados en esta fracción, que deberá ser aprobada mediante votación unánime de esta</w:t>
      </w:r>
      <w:r>
        <w:rPr>
          <w:spacing w:val="40"/>
        </w:rPr>
        <w:t> </w:t>
      </w:r>
      <w:r>
        <w:rPr>
          <w:spacing w:val="-2"/>
        </w:rPr>
        <w:t>última.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line="242" w:lineRule="auto"/>
        <w:ind w:left="858" w:right="147" w:hanging="569"/>
        <w:jc w:val="both"/>
      </w:pPr>
      <w:r>
        <w:rPr>
          <w:rFonts w:ascii="Arial" w:hAnsi="Arial"/>
          <w:b/>
        </w:rPr>
        <w:t>IV.-</w:t>
      </w:r>
      <w:r>
        <w:rPr>
          <w:rFonts w:ascii="Arial" w:hAnsi="Arial"/>
          <w:b/>
          <w:spacing w:val="80"/>
        </w:rPr>
        <w:t> </w:t>
      </w:r>
      <w:r>
        <w:rPr/>
        <w:t>Las entidades miembros de la Comisión Permanente durarán en su encargo dos años y se renovarán anualmente por mitad; pero continuarán en funciones, aún después de terminado su período, en tanto no sean elegidas las que deban sustituirlas.</w:t>
      </w:r>
    </w:p>
    <w:p>
      <w:pPr>
        <w:pStyle w:val="BodyText"/>
        <w:spacing w:line="242" w:lineRule="auto" w:before="223"/>
        <w:ind w:left="858" w:right="147" w:hanging="569"/>
        <w:jc w:val="both"/>
      </w:pPr>
      <w:r>
        <w:rPr>
          <w:rFonts w:ascii="Arial" w:hAnsi="Arial"/>
          <w:b/>
        </w:rPr>
        <w:t>V.-</w:t>
      </w:r>
      <w:r>
        <w:rPr>
          <w:rFonts w:ascii="Arial" w:hAnsi="Arial"/>
          <w:b/>
          <w:spacing w:val="80"/>
        </w:rPr>
        <w:t>  </w:t>
      </w:r>
      <w:r>
        <w:rPr/>
        <w:t>La Comisión Permanente será convocada por el Secretario de Hacienda y Crédito Público, por</w:t>
      </w:r>
      <w:r>
        <w:rPr>
          <w:spacing w:val="40"/>
        </w:rPr>
        <w:t> </w:t>
      </w:r>
      <w:r>
        <w:rPr/>
        <w:t>el Subsecretario de Ingresos o por tres de los miembros de dicha Comisión. En la convocatoria se señalarán los asuntos que deban tratarse.</w:t>
      </w:r>
    </w:p>
    <w:p>
      <w:pPr>
        <w:pStyle w:val="BodyText"/>
        <w:spacing w:before="225"/>
        <w:ind w:left="858" w:right="142" w:hanging="569"/>
        <w:jc w:val="both"/>
      </w:pPr>
      <w:r>
        <w:rPr>
          <w:rFonts w:ascii="Arial" w:hAnsi="Arial"/>
          <w:b/>
        </w:rPr>
        <w:t>VI.</w:t>
      </w:r>
      <w:r>
        <w:rPr>
          <w:rFonts w:ascii="Arial" w:hAnsi="Arial"/>
          <w:b/>
          <w:spacing w:val="80"/>
        </w:rPr>
        <w:t>  </w:t>
      </w:r>
      <w:r>
        <w:rPr/>
        <w:t>Será</w:t>
      </w:r>
      <w:r>
        <w:rPr>
          <w:spacing w:val="-2"/>
        </w:rPr>
        <w:t> </w:t>
      </w:r>
      <w:r>
        <w:rPr/>
        <w:t>invitado</w:t>
      </w:r>
      <w:r>
        <w:rPr>
          <w:spacing w:val="-2"/>
        </w:rPr>
        <w:t> </w:t>
      </w:r>
      <w:r>
        <w:rPr/>
        <w:t>permanente a</w:t>
      </w:r>
      <w:r>
        <w:rPr>
          <w:spacing w:val="-3"/>
        </w:rPr>
        <w:t> </w:t>
      </w:r>
      <w:r>
        <w:rPr/>
        <w:t>las</w:t>
      </w:r>
      <w:r>
        <w:rPr>
          <w:spacing w:val="-2"/>
        </w:rPr>
        <w:t> </w:t>
      </w:r>
      <w:r>
        <w:rPr/>
        <w:t>reuniones</w:t>
      </w:r>
      <w:r>
        <w:rPr>
          <w:spacing w:val="-2"/>
        </w:rPr>
        <w:t> </w:t>
      </w:r>
      <w:r>
        <w:rPr/>
        <w:t>de</w:t>
      </w:r>
      <w:r>
        <w:rPr>
          <w:spacing w:val="-2"/>
        </w:rPr>
        <w:t> </w:t>
      </w:r>
      <w:r>
        <w:rPr/>
        <w:t>la</w:t>
      </w:r>
      <w:r>
        <w:rPr>
          <w:spacing w:val="-2"/>
        </w:rPr>
        <w:t> </w:t>
      </w:r>
      <w:r>
        <w:rPr/>
        <w:t>Comisión</w:t>
      </w:r>
      <w:r>
        <w:rPr>
          <w:spacing w:val="-2"/>
        </w:rPr>
        <w:t> </w:t>
      </w:r>
      <w:r>
        <w:rPr/>
        <w:t>Permanente</w:t>
      </w:r>
      <w:r>
        <w:rPr>
          <w:spacing w:val="-2"/>
        </w:rPr>
        <w:t> </w:t>
      </w:r>
      <w:r>
        <w:rPr/>
        <w:t>de</w:t>
      </w:r>
      <w:r>
        <w:rPr>
          <w:spacing w:val="-4"/>
        </w:rPr>
        <w:t> </w:t>
      </w:r>
      <w:r>
        <w:rPr/>
        <w:t>Funcionarios</w:t>
      </w:r>
      <w:r>
        <w:rPr>
          <w:spacing w:val="-2"/>
        </w:rPr>
        <w:t> </w:t>
      </w:r>
      <w:r>
        <w:rPr/>
        <w:t>Fiscales, el Presidente de la Conferencia Nacional de Municipios de México, siempre que las reuniones no correspondan a sesiones de trabajo con la participación exclusiva de los funcionarios a que se refiere la fracción II de este artículo.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5"/>
        <w:rPr>
          <w:rFonts w:ascii="Times New Roman"/>
          <w:i/>
          <w:sz w:val="16"/>
        </w:rPr>
      </w:pPr>
    </w:p>
    <w:p>
      <w:pPr>
        <w:pStyle w:val="BodyText"/>
        <w:ind w:left="289"/>
      </w:pPr>
      <w:bookmarkStart w:name="Artículo_21" w:id="34"/>
      <w:bookmarkEnd w:id="34"/>
      <w:r>
        <w:rPr/>
      </w:r>
      <w:r>
        <w:rPr>
          <w:rFonts w:ascii="Arial" w:hAnsi="Arial"/>
          <w:b/>
        </w:rPr>
        <w:t>Artículo</w:t>
      </w:r>
      <w:r>
        <w:rPr>
          <w:rFonts w:ascii="Arial" w:hAnsi="Arial"/>
          <w:b/>
          <w:spacing w:val="-8"/>
        </w:rPr>
        <w:t> </w:t>
      </w:r>
      <w:r>
        <w:rPr>
          <w:rFonts w:ascii="Arial" w:hAnsi="Arial"/>
          <w:b/>
        </w:rPr>
        <w:t>21.-</w:t>
      </w:r>
      <w:r>
        <w:rPr>
          <w:rFonts w:ascii="Arial" w:hAnsi="Arial"/>
          <w:b/>
          <w:spacing w:val="-7"/>
        </w:rPr>
        <w:t> </w:t>
      </w:r>
      <w:r>
        <w:rPr/>
        <w:t>Serán</w:t>
      </w:r>
      <w:r>
        <w:rPr>
          <w:spacing w:val="-7"/>
        </w:rPr>
        <w:t> </w:t>
      </w:r>
      <w:r>
        <w:rPr/>
        <w:t>facultades</w:t>
      </w:r>
      <w:r>
        <w:rPr>
          <w:spacing w:val="-8"/>
        </w:rPr>
        <w:t> </w:t>
      </w:r>
      <w:r>
        <w:rPr/>
        <w:t>de</w:t>
      </w:r>
      <w:r>
        <w:rPr>
          <w:spacing w:val="-7"/>
        </w:rPr>
        <w:t> </w:t>
      </w:r>
      <w:r>
        <w:rPr/>
        <w:t>la</w:t>
      </w:r>
      <w:r>
        <w:rPr>
          <w:spacing w:val="-6"/>
        </w:rPr>
        <w:t> </w:t>
      </w:r>
      <w:r>
        <w:rPr/>
        <w:t>Comisión</w:t>
      </w:r>
      <w:r>
        <w:rPr>
          <w:spacing w:val="-9"/>
        </w:rPr>
        <w:t> </w:t>
      </w:r>
      <w:r>
        <w:rPr/>
        <w:t>Permanente</w:t>
      </w:r>
      <w:r>
        <w:rPr>
          <w:spacing w:val="-7"/>
        </w:rPr>
        <w:t> </w:t>
      </w:r>
      <w:r>
        <w:rPr/>
        <w:t>de</w:t>
      </w:r>
      <w:r>
        <w:rPr>
          <w:spacing w:val="-7"/>
        </w:rPr>
        <w:t> </w:t>
      </w:r>
      <w:r>
        <w:rPr/>
        <w:t>Funcionarios</w:t>
      </w:r>
      <w:r>
        <w:rPr>
          <w:spacing w:val="-7"/>
        </w:rPr>
        <w:t> </w:t>
      </w:r>
      <w:r>
        <w:rPr>
          <w:spacing w:val="-2"/>
        </w:rPr>
        <w:t>Fiscales:</w:t>
      </w:r>
    </w:p>
    <w:p>
      <w:pPr>
        <w:spacing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12-02-</w:t>
      </w:r>
      <w:r>
        <w:rPr>
          <w:rFonts w:ascii="Times New Roman" w:hAnsi="Times New Roman"/>
          <w:i/>
          <w:color w:val="0000FF"/>
          <w:spacing w:val="-4"/>
          <w:sz w:val="16"/>
        </w:rPr>
        <w:t>1979</w:t>
      </w:r>
    </w:p>
    <w:p>
      <w:pPr>
        <w:pStyle w:val="BodyText"/>
        <w:spacing w:before="48"/>
        <w:rPr>
          <w:rFonts w:ascii="Times New Roman"/>
          <w:i/>
          <w:sz w:val="16"/>
        </w:rPr>
      </w:pPr>
    </w:p>
    <w:p>
      <w:pPr>
        <w:pStyle w:val="BodyText"/>
        <w:spacing w:line="242" w:lineRule="auto"/>
        <w:ind w:left="858" w:right="140" w:hanging="569"/>
        <w:jc w:val="both"/>
      </w:pPr>
      <w:r>
        <w:rPr>
          <w:rFonts w:ascii="Arial"/>
          <w:b/>
        </w:rPr>
        <w:t>I.-</w:t>
      </w:r>
      <w:r>
        <w:rPr>
          <w:rFonts w:ascii="Arial"/>
          <w:b/>
          <w:spacing w:val="80"/>
        </w:rPr>
        <w:t>  </w:t>
      </w:r>
      <w:r>
        <w:rPr/>
        <w:t>Preparar las Reuniones Nacionales de Funcionarios Fiscales y establecer los asuntos de que deban ocuparse.</w:t>
      </w:r>
    </w:p>
    <w:p>
      <w:pPr>
        <w:pStyle w:val="BodyText"/>
        <w:spacing w:line="242" w:lineRule="auto" w:before="224"/>
        <w:ind w:left="858" w:right="147" w:hanging="569"/>
        <w:jc w:val="both"/>
      </w:pPr>
      <w:r>
        <w:rPr>
          <w:rFonts w:ascii="Arial" w:hAnsi="Arial"/>
          <w:b/>
        </w:rPr>
        <w:t>II.-</w:t>
      </w:r>
      <w:r>
        <w:rPr>
          <w:rFonts w:ascii="Arial" w:hAnsi="Arial"/>
          <w:b/>
          <w:spacing w:val="40"/>
        </w:rPr>
        <w:t>  </w:t>
      </w:r>
      <w:r>
        <w:rPr/>
        <w:t>Preparar los proyectos de distribución de aportaciones ordinarias y extraordinarias que deban cubrir la Federación y las Entidades para el sostenimiento de los órganos de coordinación, los cuales someterá a la aprobación de la Reunión Nacional de Funcionarios Fiscales.</w:t>
      </w:r>
    </w:p>
    <w:p>
      <w:pPr>
        <w:pStyle w:val="BodyText"/>
        <w:spacing w:line="242" w:lineRule="auto" w:before="222"/>
        <w:ind w:left="858" w:right="151" w:hanging="569"/>
        <w:jc w:val="both"/>
      </w:pPr>
      <w:r>
        <w:rPr>
          <w:rFonts w:ascii="Arial" w:hAnsi="Arial"/>
          <w:b/>
        </w:rPr>
        <w:t>III.-</w:t>
      </w:r>
      <w:r>
        <w:rPr>
          <w:rFonts w:ascii="Arial" w:hAnsi="Arial"/>
          <w:b/>
          <w:spacing w:val="80"/>
        </w:rPr>
        <w:t>  </w:t>
      </w:r>
      <w:r>
        <w:rPr/>
        <w:t>Fungir como</w:t>
      </w:r>
      <w:r>
        <w:rPr>
          <w:spacing w:val="-1"/>
        </w:rPr>
        <w:t> </w:t>
      </w:r>
      <w:r>
        <w:rPr/>
        <w:t>consejo</w:t>
      </w:r>
      <w:r>
        <w:rPr>
          <w:spacing w:val="-1"/>
        </w:rPr>
        <w:t> </w:t>
      </w:r>
      <w:r>
        <w:rPr/>
        <w:t>directivo</w:t>
      </w:r>
      <w:r>
        <w:rPr>
          <w:spacing w:val="-1"/>
        </w:rPr>
        <w:t> </w:t>
      </w:r>
      <w:r>
        <w:rPr/>
        <w:t>del</w:t>
      </w:r>
      <w:r>
        <w:rPr>
          <w:spacing w:val="-2"/>
        </w:rPr>
        <w:t> </w:t>
      </w:r>
      <w:r>
        <w:rPr/>
        <w:t>Instituto</w:t>
      </w:r>
      <w:r>
        <w:rPr>
          <w:spacing w:val="-1"/>
        </w:rPr>
        <w:t> </w:t>
      </w:r>
      <w:r>
        <w:rPr/>
        <w:t>para</w:t>
      </w:r>
      <w:r>
        <w:rPr>
          <w:spacing w:val="-1"/>
        </w:rPr>
        <w:t> </w:t>
      </w:r>
      <w:r>
        <w:rPr/>
        <w:t>el</w:t>
      </w:r>
      <w:r>
        <w:rPr>
          <w:spacing w:val="-2"/>
        </w:rPr>
        <w:t> </w:t>
      </w:r>
      <w:r>
        <w:rPr/>
        <w:t>Desarrollo</w:t>
      </w:r>
      <w:r>
        <w:rPr>
          <w:spacing w:val="-1"/>
        </w:rPr>
        <w:t> </w:t>
      </w:r>
      <w:r>
        <w:rPr/>
        <w:t>Técnico</w:t>
      </w:r>
      <w:r>
        <w:rPr>
          <w:spacing w:val="-1"/>
        </w:rPr>
        <w:t> </w:t>
      </w:r>
      <w:r>
        <w:rPr/>
        <w:t>de</w:t>
      </w:r>
      <w:r>
        <w:rPr>
          <w:spacing w:val="-2"/>
        </w:rPr>
        <w:t> </w:t>
      </w:r>
      <w:r>
        <w:rPr/>
        <w:t>las Haciendas Públicas y formular informes de las actividades de dicho Instituto y de la propia Comisión Permanente, que someterá a la aprobación de la Reunión Nacional.</w:t>
      </w:r>
    </w:p>
    <w:p>
      <w:pPr>
        <w:pStyle w:val="BodyText"/>
        <w:spacing w:before="225"/>
        <w:ind w:left="858" w:right="146" w:hanging="569"/>
        <w:jc w:val="both"/>
      </w:pPr>
      <w:r>
        <w:rPr>
          <w:rFonts w:ascii="Arial" w:hAnsi="Arial"/>
          <w:b/>
        </w:rPr>
        <w:t>IV.-</w:t>
      </w:r>
      <w:r>
        <w:rPr>
          <w:rFonts w:ascii="Arial" w:hAnsi="Arial"/>
          <w:b/>
          <w:spacing w:val="80"/>
        </w:rPr>
        <w:t> </w:t>
      </w:r>
      <w:r>
        <w:rPr/>
        <w:t>Vigilar la creación e incremento de los fondos señalados en esta Ley, su distribución entre las Entidades y</w:t>
      </w:r>
      <w:r>
        <w:rPr>
          <w:spacing w:val="-3"/>
        </w:rPr>
        <w:t> </w:t>
      </w:r>
      <w:r>
        <w:rPr/>
        <w:t>las</w:t>
      </w:r>
      <w:r>
        <w:rPr>
          <w:spacing w:val="-1"/>
        </w:rPr>
        <w:t> </w:t>
      </w:r>
      <w:r>
        <w:rPr/>
        <w:t>liquidaciones</w:t>
      </w:r>
      <w:r>
        <w:rPr>
          <w:spacing w:val="-1"/>
        </w:rPr>
        <w:t> </w:t>
      </w:r>
      <w:r>
        <w:rPr/>
        <w:t>anuales</w:t>
      </w:r>
      <w:r>
        <w:rPr>
          <w:spacing w:val="-1"/>
        </w:rPr>
        <w:t> </w:t>
      </w:r>
      <w:r>
        <w:rPr/>
        <w:t>que</w:t>
      </w:r>
      <w:r>
        <w:rPr>
          <w:spacing w:val="-2"/>
        </w:rPr>
        <w:t> </w:t>
      </w:r>
      <w:r>
        <w:rPr/>
        <w:t>de</w:t>
      </w:r>
      <w:r>
        <w:rPr>
          <w:spacing w:val="-3"/>
        </w:rPr>
        <w:t> </w:t>
      </w:r>
      <w:r>
        <w:rPr/>
        <w:t>dichos</w:t>
      </w:r>
      <w:r>
        <w:rPr>
          <w:spacing w:val="-1"/>
        </w:rPr>
        <w:t> </w:t>
      </w:r>
      <w:r>
        <w:rPr/>
        <w:t>fondos</w:t>
      </w:r>
      <w:r>
        <w:rPr>
          <w:spacing w:val="-1"/>
        </w:rPr>
        <w:t> </w:t>
      </w:r>
      <w:r>
        <w:rPr/>
        <w:t>formule</w:t>
      </w:r>
      <w:r>
        <w:rPr>
          <w:spacing w:val="-2"/>
        </w:rPr>
        <w:t> </w:t>
      </w:r>
      <w:r>
        <w:rPr/>
        <w:t>la</w:t>
      </w:r>
      <w:r>
        <w:rPr>
          <w:spacing w:val="-2"/>
        </w:rPr>
        <w:t> </w:t>
      </w:r>
      <w:r>
        <w:rPr/>
        <w:t>Secretaría</w:t>
      </w:r>
      <w:r>
        <w:rPr>
          <w:spacing w:val="-2"/>
        </w:rPr>
        <w:t> </w:t>
      </w:r>
      <w:r>
        <w:rPr/>
        <w:t>de</w:t>
      </w:r>
      <w:r>
        <w:rPr>
          <w:spacing w:val="-3"/>
        </w:rPr>
        <w:t> </w:t>
      </w:r>
      <w:r>
        <w:rPr/>
        <w:t>Hacienda y Crédito Público, así como vigilar la determinación, liquidación y pago de participaciones a los Municipios que de acuerdo con esta Ley deben efectuar la Secretaría de Hacienda y Crédito Público y las Entidades;</w:t>
      </w:r>
    </w:p>
    <w:p>
      <w:pPr>
        <w:spacing w:before="0"/>
        <w:ind w:left="6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30-12-1980,</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5"/>
        <w:rPr>
          <w:rFonts w:ascii="Times New Roman"/>
          <w:i/>
          <w:sz w:val="16"/>
        </w:rPr>
      </w:pPr>
    </w:p>
    <w:p>
      <w:pPr>
        <w:pStyle w:val="BodyText"/>
        <w:tabs>
          <w:tab w:pos="858" w:val="left" w:leader="none"/>
        </w:tabs>
        <w:ind w:left="289"/>
      </w:pPr>
      <w:r>
        <w:rPr>
          <w:rFonts w:ascii="Arial" w:hAnsi="Arial"/>
          <w:b/>
          <w:spacing w:val="-5"/>
        </w:rPr>
        <w:t>V.-</w:t>
      </w:r>
      <w:r>
        <w:rPr>
          <w:rFonts w:ascii="Arial" w:hAnsi="Arial"/>
          <w:b/>
        </w:rPr>
        <w:tab/>
      </w:r>
      <w:r>
        <w:rPr/>
        <w:t>Formular</w:t>
      </w:r>
      <w:r>
        <w:rPr>
          <w:spacing w:val="-6"/>
        </w:rPr>
        <w:t> </w:t>
      </w:r>
      <w:r>
        <w:rPr/>
        <w:t>los</w:t>
      </w:r>
      <w:r>
        <w:rPr>
          <w:spacing w:val="-3"/>
        </w:rPr>
        <w:t> </w:t>
      </w:r>
      <w:r>
        <w:rPr/>
        <w:t>dictámenes</w:t>
      </w:r>
      <w:r>
        <w:rPr>
          <w:spacing w:val="-5"/>
        </w:rPr>
        <w:t> </w:t>
      </w:r>
      <w:r>
        <w:rPr/>
        <w:t>técnicos</w:t>
      </w:r>
      <w:r>
        <w:rPr>
          <w:spacing w:val="-5"/>
        </w:rPr>
        <w:t> </w:t>
      </w:r>
      <w:r>
        <w:rPr/>
        <w:t>a</w:t>
      </w:r>
      <w:r>
        <w:rPr>
          <w:spacing w:val="-7"/>
        </w:rPr>
        <w:t> </w:t>
      </w:r>
      <w:r>
        <w:rPr/>
        <w:t>que</w:t>
      </w:r>
      <w:r>
        <w:rPr>
          <w:spacing w:val="-7"/>
        </w:rPr>
        <w:t> </w:t>
      </w:r>
      <w:r>
        <w:rPr/>
        <w:t>se</w:t>
      </w:r>
      <w:r>
        <w:rPr>
          <w:spacing w:val="-6"/>
        </w:rPr>
        <w:t> </w:t>
      </w:r>
      <w:r>
        <w:rPr/>
        <w:t>refiere</w:t>
      </w:r>
      <w:r>
        <w:rPr>
          <w:spacing w:val="-3"/>
        </w:rPr>
        <w:t> </w:t>
      </w:r>
      <w:r>
        <w:rPr/>
        <w:t>el</w:t>
      </w:r>
      <w:r>
        <w:rPr>
          <w:spacing w:val="-7"/>
        </w:rPr>
        <w:t> </w:t>
      </w:r>
      <w:r>
        <w:rPr/>
        <w:t>artículo</w:t>
      </w:r>
      <w:r>
        <w:rPr>
          <w:spacing w:val="-5"/>
        </w:rPr>
        <w:t> </w:t>
      </w:r>
      <w:r>
        <w:rPr/>
        <w:t>11</w:t>
      </w:r>
      <w:r>
        <w:rPr>
          <w:spacing w:val="-6"/>
        </w:rPr>
        <w:t> </w:t>
      </w:r>
      <w:r>
        <w:rPr/>
        <w:t>de</w:t>
      </w:r>
      <w:r>
        <w:rPr>
          <w:spacing w:val="-6"/>
        </w:rPr>
        <w:t> </w:t>
      </w:r>
      <w:r>
        <w:rPr/>
        <w:t>esta</w:t>
      </w:r>
      <w:r>
        <w:rPr>
          <w:spacing w:val="-4"/>
        </w:rPr>
        <w:t> Ley.</w:t>
      </w:r>
    </w:p>
    <w:p>
      <w:pPr>
        <w:pStyle w:val="BodyText"/>
        <w:spacing w:before="1"/>
      </w:pPr>
    </w:p>
    <w:p>
      <w:pPr>
        <w:pStyle w:val="BodyText"/>
        <w:tabs>
          <w:tab w:pos="858" w:val="left" w:leader="none"/>
        </w:tabs>
        <w:spacing w:line="242" w:lineRule="auto"/>
        <w:ind w:left="858" w:right="149" w:hanging="569"/>
      </w:pPr>
      <w:r>
        <w:rPr>
          <w:rFonts w:ascii="Arial" w:hAnsi="Arial"/>
          <w:b/>
          <w:spacing w:val="-4"/>
        </w:rPr>
        <w:t>VI.-</w:t>
      </w:r>
      <w:r>
        <w:rPr>
          <w:rFonts w:ascii="Arial" w:hAnsi="Arial"/>
          <w:b/>
        </w:rPr>
        <w:tab/>
      </w:r>
      <w:r>
        <w:rPr/>
        <w:t>Las demás que le encomienden la Reunión Nacional de Funcionarios Fiscales, la Secretaría de Hacienda y Crédito Público y los titulares de los órganos hacendarios de las entidades.</w:t>
      </w:r>
    </w:p>
    <w:p>
      <w:pPr>
        <w:pStyle w:val="BodyText"/>
        <w:spacing w:line="242" w:lineRule="auto" w:before="224"/>
        <w:ind w:left="1" w:firstLine="288"/>
      </w:pPr>
      <w:bookmarkStart w:name="Artículo_22" w:id="35"/>
      <w:bookmarkEnd w:id="35"/>
      <w:r>
        <w:rPr/>
      </w:r>
      <w:r>
        <w:rPr>
          <w:rFonts w:ascii="Arial" w:hAnsi="Arial"/>
          <w:b/>
        </w:rPr>
        <w:t>Artículo</w:t>
      </w:r>
      <w:r>
        <w:rPr>
          <w:rFonts w:ascii="Arial" w:hAnsi="Arial"/>
          <w:b/>
          <w:spacing w:val="34"/>
        </w:rPr>
        <w:t> </w:t>
      </w:r>
      <w:r>
        <w:rPr>
          <w:rFonts w:ascii="Arial" w:hAnsi="Arial"/>
          <w:b/>
        </w:rPr>
        <w:t>22.-</w:t>
      </w:r>
      <w:r>
        <w:rPr>
          <w:rFonts w:ascii="Arial" w:hAnsi="Arial"/>
          <w:b/>
          <w:spacing w:val="35"/>
        </w:rPr>
        <w:t> </w:t>
      </w:r>
      <w:r>
        <w:rPr/>
        <w:t>El</w:t>
      </w:r>
      <w:r>
        <w:rPr>
          <w:spacing w:val="33"/>
        </w:rPr>
        <w:t> </w:t>
      </w:r>
      <w:r>
        <w:rPr/>
        <w:t>Instituto</w:t>
      </w:r>
      <w:r>
        <w:rPr>
          <w:spacing w:val="33"/>
        </w:rPr>
        <w:t> </w:t>
      </w:r>
      <w:r>
        <w:rPr/>
        <w:t>para</w:t>
      </w:r>
      <w:r>
        <w:rPr>
          <w:spacing w:val="33"/>
        </w:rPr>
        <w:t> </w:t>
      </w:r>
      <w:r>
        <w:rPr/>
        <w:t>el</w:t>
      </w:r>
      <w:r>
        <w:rPr>
          <w:spacing w:val="32"/>
        </w:rPr>
        <w:t> </w:t>
      </w:r>
      <w:r>
        <w:rPr/>
        <w:t>Desarrollo</w:t>
      </w:r>
      <w:r>
        <w:rPr>
          <w:spacing w:val="33"/>
        </w:rPr>
        <w:t> </w:t>
      </w:r>
      <w:r>
        <w:rPr/>
        <w:t>Técnico</w:t>
      </w:r>
      <w:r>
        <w:rPr>
          <w:spacing w:val="33"/>
        </w:rPr>
        <w:t> </w:t>
      </w:r>
      <w:r>
        <w:rPr/>
        <w:t>de</w:t>
      </w:r>
      <w:r>
        <w:rPr>
          <w:spacing w:val="33"/>
        </w:rPr>
        <w:t> </w:t>
      </w:r>
      <w:r>
        <w:rPr/>
        <w:t>las</w:t>
      </w:r>
      <w:r>
        <w:rPr>
          <w:spacing w:val="34"/>
        </w:rPr>
        <w:t> </w:t>
      </w:r>
      <w:r>
        <w:rPr/>
        <w:t>Haciendas</w:t>
      </w:r>
      <w:r>
        <w:rPr>
          <w:spacing w:val="32"/>
        </w:rPr>
        <w:t> </w:t>
      </w:r>
      <w:r>
        <w:rPr/>
        <w:t>Públicas</w:t>
      </w:r>
      <w:r>
        <w:rPr>
          <w:spacing w:val="32"/>
        </w:rPr>
        <w:t> </w:t>
      </w:r>
      <w:r>
        <w:rPr/>
        <w:t>(INDETEC),</w:t>
      </w:r>
      <w:r>
        <w:rPr>
          <w:spacing w:val="32"/>
        </w:rPr>
        <w:t> </w:t>
      </w:r>
      <w:r>
        <w:rPr/>
        <w:t>es</w:t>
      </w:r>
      <w:r>
        <w:rPr>
          <w:spacing w:val="34"/>
        </w:rPr>
        <w:t> </w:t>
      </w:r>
      <w:r>
        <w:rPr/>
        <w:t>un organismo público, con personalidad jurídica y patrimonio propios, con las siguientes funciones:</w:t>
      </w:r>
    </w:p>
    <w:p>
      <w:pPr>
        <w:pStyle w:val="BodyText"/>
        <w:tabs>
          <w:tab w:pos="858" w:val="left" w:leader="none"/>
        </w:tabs>
        <w:spacing w:before="227"/>
        <w:ind w:left="289"/>
      </w:pPr>
      <w:r>
        <w:rPr>
          <w:rFonts w:ascii="Arial" w:hAnsi="Arial"/>
          <w:b/>
          <w:spacing w:val="-5"/>
        </w:rPr>
        <w:t>I.-</w:t>
      </w:r>
      <w:r>
        <w:rPr>
          <w:rFonts w:ascii="Arial" w:hAnsi="Arial"/>
          <w:b/>
        </w:rPr>
        <w:tab/>
      </w:r>
      <w:r>
        <w:rPr/>
        <w:t>Realizar</w:t>
      </w:r>
      <w:r>
        <w:rPr>
          <w:spacing w:val="-9"/>
        </w:rPr>
        <w:t> </w:t>
      </w:r>
      <w:r>
        <w:rPr/>
        <w:t>estudios</w:t>
      </w:r>
      <w:r>
        <w:rPr>
          <w:spacing w:val="-8"/>
        </w:rPr>
        <w:t> </w:t>
      </w:r>
      <w:r>
        <w:rPr/>
        <w:t>relativos</w:t>
      </w:r>
      <w:r>
        <w:rPr>
          <w:spacing w:val="-7"/>
        </w:rPr>
        <w:t> </w:t>
      </w:r>
      <w:r>
        <w:rPr/>
        <w:t>al</w:t>
      </w:r>
      <w:r>
        <w:rPr>
          <w:spacing w:val="-10"/>
        </w:rPr>
        <w:t> </w:t>
      </w:r>
      <w:r>
        <w:rPr/>
        <w:t>sistema</w:t>
      </w:r>
      <w:r>
        <w:rPr>
          <w:spacing w:val="-9"/>
        </w:rPr>
        <w:t> </w:t>
      </w:r>
      <w:r>
        <w:rPr/>
        <w:t>nacional</w:t>
      </w:r>
      <w:r>
        <w:rPr>
          <w:spacing w:val="-5"/>
        </w:rPr>
        <w:t> </w:t>
      </w:r>
      <w:r>
        <w:rPr/>
        <w:t>de</w:t>
      </w:r>
      <w:r>
        <w:rPr>
          <w:spacing w:val="-9"/>
        </w:rPr>
        <w:t> </w:t>
      </w:r>
      <w:r>
        <w:rPr/>
        <w:t>coordinación</w:t>
      </w:r>
      <w:r>
        <w:rPr>
          <w:spacing w:val="-7"/>
        </w:rPr>
        <w:t> </w:t>
      </w:r>
      <w:r>
        <w:rPr>
          <w:spacing w:val="-2"/>
        </w:rPr>
        <w:t>fiscal.</w:t>
      </w:r>
    </w:p>
    <w:p>
      <w:pPr>
        <w:pStyle w:val="BodyText"/>
        <w:spacing w:after="0"/>
        <w:sectPr>
          <w:pgSz w:w="12250" w:h="15850"/>
          <w:pgMar w:header="724" w:footer="712" w:top="1880" w:bottom="900" w:left="1417" w:right="1275"/>
        </w:sectPr>
      </w:pPr>
    </w:p>
    <w:p>
      <w:pPr>
        <w:pStyle w:val="BodyText"/>
      </w:pPr>
    </w:p>
    <w:p>
      <w:pPr>
        <w:pStyle w:val="BodyText"/>
        <w:spacing w:before="65"/>
      </w:pPr>
    </w:p>
    <w:p>
      <w:pPr>
        <w:pStyle w:val="BodyText"/>
        <w:tabs>
          <w:tab w:pos="858" w:val="left" w:leader="none"/>
        </w:tabs>
        <w:spacing w:line="242" w:lineRule="auto"/>
        <w:ind w:left="858" w:right="153" w:hanging="569"/>
      </w:pPr>
      <w:r>
        <w:rPr>
          <w:rFonts w:ascii="Arial" w:hAnsi="Arial"/>
          <w:b/>
          <w:spacing w:val="-4"/>
        </w:rPr>
        <w:t>II.-</w:t>
      </w:r>
      <w:r>
        <w:rPr>
          <w:rFonts w:ascii="Arial" w:hAnsi="Arial"/>
          <w:b/>
        </w:rPr>
        <w:tab/>
      </w:r>
      <w:r>
        <w:rPr/>
        <w:t>Hacer estudios permanentes de la legislación tributaria vigente en la Federación y en cada una de las entidades, así como de las respectivas administraciones.</w:t>
      </w:r>
    </w:p>
    <w:p>
      <w:pPr>
        <w:spacing w:line="178" w:lineRule="exact" w:before="0"/>
        <w:ind w:left="6533"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12-02-</w:t>
      </w:r>
      <w:r>
        <w:rPr>
          <w:rFonts w:ascii="Times New Roman" w:hAnsi="Times New Roman"/>
          <w:i/>
          <w:color w:val="0000FF"/>
          <w:spacing w:val="-4"/>
          <w:sz w:val="16"/>
        </w:rPr>
        <w:t>1979</w:t>
      </w:r>
    </w:p>
    <w:p>
      <w:pPr>
        <w:pStyle w:val="BodyText"/>
        <w:spacing w:before="47"/>
        <w:rPr>
          <w:rFonts w:ascii="Times New Roman"/>
          <w:i/>
          <w:sz w:val="16"/>
        </w:rPr>
      </w:pPr>
    </w:p>
    <w:p>
      <w:pPr>
        <w:pStyle w:val="BodyText"/>
        <w:tabs>
          <w:tab w:pos="858" w:val="left" w:leader="none"/>
        </w:tabs>
        <w:spacing w:line="242" w:lineRule="auto"/>
        <w:ind w:left="858" w:right="149" w:hanging="569"/>
      </w:pPr>
      <w:r>
        <w:rPr>
          <w:rFonts w:ascii="Arial" w:hAnsi="Arial"/>
          <w:b/>
          <w:spacing w:val="-2"/>
        </w:rPr>
        <w:t>III.-</w:t>
      </w:r>
      <w:r>
        <w:rPr>
          <w:rFonts w:ascii="Arial" w:hAnsi="Arial"/>
          <w:b/>
        </w:rPr>
        <w:tab/>
      </w:r>
      <w:r>
        <w:rPr/>
        <w:t>Sugerir</w:t>
      </w:r>
      <w:r>
        <w:rPr>
          <w:spacing w:val="28"/>
        </w:rPr>
        <w:t> </w:t>
      </w:r>
      <w:r>
        <w:rPr/>
        <w:t>medidas</w:t>
      </w:r>
      <w:r>
        <w:rPr>
          <w:spacing w:val="31"/>
        </w:rPr>
        <w:t> </w:t>
      </w:r>
      <w:r>
        <w:rPr/>
        <w:t>encaminadas</w:t>
      </w:r>
      <w:r>
        <w:rPr>
          <w:spacing w:val="29"/>
        </w:rPr>
        <w:t> </w:t>
      </w:r>
      <w:r>
        <w:rPr/>
        <w:t>a</w:t>
      </w:r>
      <w:r>
        <w:rPr>
          <w:spacing w:val="28"/>
        </w:rPr>
        <w:t> </w:t>
      </w:r>
      <w:r>
        <w:rPr/>
        <w:t>coordinar</w:t>
      </w:r>
      <w:r>
        <w:rPr>
          <w:spacing w:val="29"/>
        </w:rPr>
        <w:t> </w:t>
      </w:r>
      <w:r>
        <w:rPr/>
        <w:t>la</w:t>
      </w:r>
      <w:r>
        <w:rPr>
          <w:spacing w:val="28"/>
        </w:rPr>
        <w:t> </w:t>
      </w:r>
      <w:r>
        <w:rPr/>
        <w:t>acción</w:t>
      </w:r>
      <w:r>
        <w:rPr>
          <w:spacing w:val="30"/>
        </w:rPr>
        <w:t> </w:t>
      </w:r>
      <w:r>
        <w:rPr/>
        <w:t>impositiva</w:t>
      </w:r>
      <w:r>
        <w:rPr>
          <w:spacing w:val="28"/>
        </w:rPr>
        <w:t> </w:t>
      </w:r>
      <w:r>
        <w:rPr/>
        <w:t>federal</w:t>
      </w:r>
      <w:r>
        <w:rPr>
          <w:spacing w:val="30"/>
        </w:rPr>
        <w:t> </w:t>
      </w:r>
      <w:r>
        <w:rPr/>
        <w:t>y</w:t>
      </w:r>
      <w:r>
        <w:rPr>
          <w:spacing w:val="27"/>
        </w:rPr>
        <w:t> </w:t>
      </w:r>
      <w:r>
        <w:rPr/>
        <w:t>local,</w:t>
      </w:r>
      <w:r>
        <w:rPr>
          <w:spacing w:val="28"/>
        </w:rPr>
        <w:t> </w:t>
      </w:r>
      <w:r>
        <w:rPr/>
        <w:t>para</w:t>
      </w:r>
      <w:r>
        <w:rPr>
          <w:spacing w:val="28"/>
        </w:rPr>
        <w:t> </w:t>
      </w:r>
      <w:r>
        <w:rPr/>
        <w:t>lograr</w:t>
      </w:r>
      <w:r>
        <w:rPr>
          <w:spacing w:val="29"/>
        </w:rPr>
        <w:t> </w:t>
      </w:r>
      <w:r>
        <w:rPr/>
        <w:t>la más equitativa distribución de los ingresos entre la Federación y las entidades.</w:t>
      </w:r>
    </w:p>
    <w:p>
      <w:pPr>
        <w:spacing w:line="178" w:lineRule="exact" w:before="0"/>
        <w:ind w:left="6533"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12-02-</w:t>
      </w:r>
      <w:r>
        <w:rPr>
          <w:rFonts w:ascii="Times New Roman" w:hAnsi="Times New Roman"/>
          <w:i/>
          <w:color w:val="0000FF"/>
          <w:spacing w:val="-4"/>
          <w:sz w:val="16"/>
        </w:rPr>
        <w:t>1979</w:t>
      </w:r>
    </w:p>
    <w:p>
      <w:pPr>
        <w:pStyle w:val="BodyText"/>
        <w:spacing w:before="47"/>
        <w:rPr>
          <w:rFonts w:ascii="Times New Roman"/>
          <w:i/>
          <w:sz w:val="16"/>
        </w:rPr>
      </w:pPr>
    </w:p>
    <w:p>
      <w:pPr>
        <w:pStyle w:val="BodyText"/>
        <w:tabs>
          <w:tab w:pos="858" w:val="left" w:leader="none"/>
        </w:tabs>
        <w:spacing w:line="242" w:lineRule="auto" w:before="1"/>
        <w:ind w:left="858" w:right="153" w:hanging="569"/>
      </w:pPr>
      <w:r>
        <w:rPr>
          <w:rFonts w:ascii="Arial" w:hAnsi="Arial"/>
          <w:b/>
          <w:spacing w:val="-4"/>
        </w:rPr>
        <w:t>IV.-</w:t>
      </w:r>
      <w:r>
        <w:rPr>
          <w:rFonts w:ascii="Arial" w:hAnsi="Arial"/>
          <w:b/>
        </w:rPr>
        <w:tab/>
      </w:r>
      <w:r>
        <w:rPr/>
        <w:t>Desempeñar</w:t>
      </w:r>
      <w:r>
        <w:rPr>
          <w:spacing w:val="40"/>
        </w:rPr>
        <w:t> </w:t>
      </w:r>
      <w:r>
        <w:rPr/>
        <w:t>las</w:t>
      </w:r>
      <w:r>
        <w:rPr>
          <w:spacing w:val="40"/>
        </w:rPr>
        <w:t> </w:t>
      </w:r>
      <w:r>
        <w:rPr/>
        <w:t>funciones</w:t>
      </w:r>
      <w:r>
        <w:rPr>
          <w:spacing w:val="40"/>
        </w:rPr>
        <w:t> </w:t>
      </w:r>
      <w:r>
        <w:rPr/>
        <w:t>de</w:t>
      </w:r>
      <w:r>
        <w:rPr>
          <w:spacing w:val="40"/>
        </w:rPr>
        <w:t> </w:t>
      </w:r>
      <w:r>
        <w:rPr/>
        <w:t>secretaría</w:t>
      </w:r>
      <w:r>
        <w:rPr>
          <w:spacing w:val="40"/>
        </w:rPr>
        <w:t> </w:t>
      </w:r>
      <w:r>
        <w:rPr/>
        <w:t>técnica</w:t>
      </w:r>
      <w:r>
        <w:rPr>
          <w:spacing w:val="40"/>
        </w:rPr>
        <w:t> </w:t>
      </w:r>
      <w:r>
        <w:rPr/>
        <w:t>de</w:t>
      </w:r>
      <w:r>
        <w:rPr>
          <w:spacing w:val="40"/>
        </w:rPr>
        <w:t> </w:t>
      </w:r>
      <w:r>
        <w:rPr/>
        <w:t>la</w:t>
      </w:r>
      <w:r>
        <w:rPr>
          <w:spacing w:val="40"/>
        </w:rPr>
        <w:t> </w:t>
      </w:r>
      <w:r>
        <w:rPr/>
        <w:t>Reunión</w:t>
      </w:r>
      <w:r>
        <w:rPr>
          <w:spacing w:val="40"/>
        </w:rPr>
        <w:t> </w:t>
      </w:r>
      <w:r>
        <w:rPr/>
        <w:t>Nacional</w:t>
      </w:r>
      <w:r>
        <w:rPr>
          <w:spacing w:val="40"/>
        </w:rPr>
        <w:t> </w:t>
      </w:r>
      <w:r>
        <w:rPr/>
        <w:t>y</w:t>
      </w:r>
      <w:r>
        <w:rPr>
          <w:spacing w:val="40"/>
        </w:rPr>
        <w:t> </w:t>
      </w:r>
      <w:r>
        <w:rPr/>
        <w:t>de</w:t>
      </w:r>
      <w:r>
        <w:rPr>
          <w:spacing w:val="40"/>
        </w:rPr>
        <w:t> </w:t>
      </w:r>
      <w:r>
        <w:rPr/>
        <w:t>la</w:t>
      </w:r>
      <w:r>
        <w:rPr>
          <w:spacing w:val="40"/>
        </w:rPr>
        <w:t> </w:t>
      </w:r>
      <w:r>
        <w:rPr/>
        <w:t>Comisión Permanente de Funcionarios Fiscales.</w:t>
      </w:r>
    </w:p>
    <w:p>
      <w:pPr>
        <w:pStyle w:val="BodyText"/>
        <w:tabs>
          <w:tab w:pos="858" w:val="left" w:leader="none"/>
        </w:tabs>
        <w:spacing w:before="224"/>
        <w:ind w:left="289"/>
      </w:pPr>
      <w:r>
        <w:rPr>
          <w:rFonts w:ascii="Arial" w:hAnsi="Arial"/>
          <w:b/>
          <w:spacing w:val="-5"/>
        </w:rPr>
        <w:t>V.-</w:t>
      </w:r>
      <w:r>
        <w:rPr>
          <w:rFonts w:ascii="Arial" w:hAnsi="Arial"/>
          <w:b/>
        </w:rPr>
        <w:tab/>
      </w:r>
      <w:r>
        <w:rPr/>
        <w:t>Actuar</w:t>
      </w:r>
      <w:r>
        <w:rPr>
          <w:spacing w:val="-7"/>
        </w:rPr>
        <w:t> </w:t>
      </w:r>
      <w:r>
        <w:rPr/>
        <w:t>como</w:t>
      </w:r>
      <w:r>
        <w:rPr>
          <w:spacing w:val="-8"/>
        </w:rPr>
        <w:t> </w:t>
      </w:r>
      <w:r>
        <w:rPr/>
        <w:t>consultor</w:t>
      </w:r>
      <w:r>
        <w:rPr>
          <w:spacing w:val="-7"/>
        </w:rPr>
        <w:t> </w:t>
      </w:r>
      <w:r>
        <w:rPr/>
        <w:t>técnico</w:t>
      </w:r>
      <w:r>
        <w:rPr>
          <w:spacing w:val="-7"/>
        </w:rPr>
        <w:t> </w:t>
      </w:r>
      <w:r>
        <w:rPr/>
        <w:t>de</w:t>
      </w:r>
      <w:r>
        <w:rPr>
          <w:spacing w:val="-6"/>
        </w:rPr>
        <w:t> </w:t>
      </w:r>
      <w:r>
        <w:rPr/>
        <w:t>las</w:t>
      </w:r>
      <w:r>
        <w:rPr>
          <w:spacing w:val="-5"/>
        </w:rPr>
        <w:t> </w:t>
      </w:r>
      <w:r>
        <w:rPr/>
        <w:t>haciendas</w:t>
      </w:r>
      <w:r>
        <w:rPr>
          <w:spacing w:val="-7"/>
        </w:rPr>
        <w:t> </w:t>
      </w:r>
      <w:r>
        <w:rPr>
          <w:spacing w:val="-2"/>
        </w:rPr>
        <w:t>públicas.</w:t>
      </w:r>
    </w:p>
    <w:p>
      <w:pPr>
        <w:pStyle w:val="BodyText"/>
        <w:spacing w:before="1"/>
      </w:pPr>
    </w:p>
    <w:p>
      <w:pPr>
        <w:pStyle w:val="BodyText"/>
        <w:tabs>
          <w:tab w:pos="858" w:val="left" w:leader="none"/>
        </w:tabs>
        <w:ind w:left="289"/>
      </w:pPr>
      <w:r>
        <w:rPr>
          <w:rFonts w:ascii="Arial" w:hAnsi="Arial"/>
          <w:b/>
          <w:spacing w:val="-4"/>
        </w:rPr>
        <w:t>VI.-</w:t>
      </w:r>
      <w:r>
        <w:rPr>
          <w:rFonts w:ascii="Arial" w:hAnsi="Arial"/>
          <w:b/>
        </w:rPr>
        <w:tab/>
      </w:r>
      <w:r>
        <w:rPr/>
        <w:t>Promover</w:t>
      </w:r>
      <w:r>
        <w:rPr>
          <w:spacing w:val="-9"/>
        </w:rPr>
        <w:t> </w:t>
      </w:r>
      <w:r>
        <w:rPr/>
        <w:t>el</w:t>
      </w:r>
      <w:r>
        <w:rPr>
          <w:spacing w:val="-7"/>
        </w:rPr>
        <w:t> </w:t>
      </w:r>
      <w:r>
        <w:rPr/>
        <w:t>desarrollo</w:t>
      </w:r>
      <w:r>
        <w:rPr>
          <w:spacing w:val="-6"/>
        </w:rPr>
        <w:t> </w:t>
      </w:r>
      <w:r>
        <w:rPr/>
        <w:t>técnico</w:t>
      </w:r>
      <w:r>
        <w:rPr>
          <w:spacing w:val="-9"/>
        </w:rPr>
        <w:t> </w:t>
      </w:r>
      <w:r>
        <w:rPr/>
        <w:t>de</w:t>
      </w:r>
      <w:r>
        <w:rPr>
          <w:spacing w:val="-6"/>
        </w:rPr>
        <w:t> </w:t>
      </w:r>
      <w:r>
        <w:rPr/>
        <w:t>las</w:t>
      </w:r>
      <w:r>
        <w:rPr>
          <w:spacing w:val="-5"/>
        </w:rPr>
        <w:t> </w:t>
      </w:r>
      <w:r>
        <w:rPr/>
        <w:t>haciendas</w:t>
      </w:r>
      <w:r>
        <w:rPr>
          <w:spacing w:val="-8"/>
        </w:rPr>
        <w:t> </w:t>
      </w:r>
      <w:r>
        <w:rPr/>
        <w:t>públicas</w:t>
      </w:r>
      <w:r>
        <w:rPr>
          <w:spacing w:val="-7"/>
        </w:rPr>
        <w:t> </w:t>
      </w:r>
      <w:r>
        <w:rPr>
          <w:spacing w:val="-2"/>
        </w:rPr>
        <w:t>municipales.</w:t>
      </w:r>
    </w:p>
    <w:p>
      <w:pPr>
        <w:pStyle w:val="BodyText"/>
        <w:spacing w:before="1"/>
      </w:pPr>
    </w:p>
    <w:p>
      <w:pPr>
        <w:pStyle w:val="BodyText"/>
        <w:tabs>
          <w:tab w:pos="858" w:val="left" w:leader="none"/>
        </w:tabs>
        <w:ind w:left="289"/>
      </w:pPr>
      <w:r>
        <w:rPr>
          <w:rFonts w:ascii="Arial" w:hAnsi="Arial"/>
          <w:b/>
          <w:spacing w:val="-2"/>
        </w:rPr>
        <w:t>VII.-</w:t>
      </w:r>
      <w:r>
        <w:rPr>
          <w:rFonts w:ascii="Arial" w:hAnsi="Arial"/>
          <w:b/>
        </w:rPr>
        <w:tab/>
      </w:r>
      <w:r>
        <w:rPr/>
        <w:t>Capacitar</w:t>
      </w:r>
      <w:r>
        <w:rPr>
          <w:spacing w:val="-9"/>
        </w:rPr>
        <w:t> </w:t>
      </w:r>
      <w:r>
        <w:rPr/>
        <w:t>técnicos</w:t>
      </w:r>
      <w:r>
        <w:rPr>
          <w:spacing w:val="-5"/>
        </w:rPr>
        <w:t> </w:t>
      </w:r>
      <w:r>
        <w:rPr/>
        <w:t>y</w:t>
      </w:r>
      <w:r>
        <w:rPr>
          <w:spacing w:val="-11"/>
        </w:rPr>
        <w:t> </w:t>
      </w:r>
      <w:r>
        <w:rPr/>
        <w:t>funcionarios</w:t>
      </w:r>
      <w:r>
        <w:rPr>
          <w:spacing w:val="-7"/>
        </w:rPr>
        <w:t> </w:t>
      </w:r>
      <w:r>
        <w:rPr>
          <w:spacing w:val="-2"/>
        </w:rPr>
        <w:t>fiscales.</w:t>
      </w:r>
    </w:p>
    <w:p>
      <w:pPr>
        <w:pStyle w:val="BodyText"/>
        <w:spacing w:before="228"/>
        <w:ind w:left="289"/>
      </w:pPr>
      <w:r>
        <w:rPr>
          <w:rFonts w:ascii="Arial" w:hAnsi="Arial"/>
          <w:b/>
        </w:rPr>
        <w:t>VIII.-</w:t>
      </w:r>
      <w:r>
        <w:rPr>
          <w:rFonts w:ascii="Arial" w:hAnsi="Arial"/>
          <w:b/>
          <w:spacing w:val="76"/>
        </w:rPr>
        <w:t> </w:t>
      </w:r>
      <w:r>
        <w:rPr/>
        <w:t>Desarrollar</w:t>
      </w:r>
      <w:r>
        <w:rPr>
          <w:spacing w:val="-7"/>
        </w:rPr>
        <w:t> </w:t>
      </w:r>
      <w:r>
        <w:rPr/>
        <w:t>los</w:t>
      </w:r>
      <w:r>
        <w:rPr>
          <w:spacing w:val="-6"/>
        </w:rPr>
        <w:t> </w:t>
      </w:r>
      <w:r>
        <w:rPr/>
        <w:t>programas</w:t>
      </w:r>
      <w:r>
        <w:rPr>
          <w:spacing w:val="-7"/>
        </w:rPr>
        <w:t> </w:t>
      </w:r>
      <w:r>
        <w:rPr/>
        <w:t>que</w:t>
      </w:r>
      <w:r>
        <w:rPr>
          <w:spacing w:val="-5"/>
        </w:rPr>
        <w:t> </w:t>
      </w:r>
      <w:r>
        <w:rPr/>
        <w:t>apruebe</w:t>
      </w:r>
      <w:r>
        <w:rPr>
          <w:spacing w:val="-6"/>
        </w:rPr>
        <w:t> </w:t>
      </w:r>
      <w:r>
        <w:rPr/>
        <w:t>la</w:t>
      </w:r>
      <w:r>
        <w:rPr>
          <w:spacing w:val="-7"/>
        </w:rPr>
        <w:t> </w:t>
      </w:r>
      <w:r>
        <w:rPr/>
        <w:t>Reunión</w:t>
      </w:r>
      <w:r>
        <w:rPr>
          <w:spacing w:val="-7"/>
        </w:rPr>
        <w:t> </w:t>
      </w:r>
      <w:r>
        <w:rPr/>
        <w:t>Nacional</w:t>
      </w:r>
      <w:r>
        <w:rPr>
          <w:spacing w:val="-8"/>
        </w:rPr>
        <w:t> </w:t>
      </w:r>
      <w:r>
        <w:rPr/>
        <w:t>de</w:t>
      </w:r>
      <w:r>
        <w:rPr>
          <w:spacing w:val="-8"/>
        </w:rPr>
        <w:t> </w:t>
      </w:r>
      <w:r>
        <w:rPr/>
        <w:t>Funcionarios</w:t>
      </w:r>
      <w:r>
        <w:rPr>
          <w:spacing w:val="-6"/>
        </w:rPr>
        <w:t> </w:t>
      </w:r>
      <w:r>
        <w:rPr>
          <w:spacing w:val="-2"/>
        </w:rPr>
        <w:t>Fiscales.</w:t>
      </w:r>
    </w:p>
    <w:p>
      <w:pPr>
        <w:pStyle w:val="BodyText"/>
        <w:spacing w:before="4"/>
      </w:pPr>
    </w:p>
    <w:p>
      <w:pPr>
        <w:pStyle w:val="BodyText"/>
        <w:ind w:left="1" w:right="150" w:firstLine="288"/>
        <w:jc w:val="both"/>
      </w:pPr>
      <w:r>
        <w:rPr/>
        <w:t>Para el desempeño de las funciones indicadas el Instituto podrá participar en programas con otras instituciones u organismos que realicen actividades similares.</w:t>
      </w:r>
    </w:p>
    <w:p>
      <w:pPr>
        <w:pStyle w:val="BodyText"/>
        <w:spacing w:before="229"/>
        <w:ind w:left="289"/>
      </w:pPr>
      <w:bookmarkStart w:name="Artículo_23" w:id="36"/>
      <w:bookmarkEnd w:id="36"/>
      <w:r>
        <w:rPr/>
      </w:r>
      <w:r>
        <w:rPr>
          <w:rFonts w:ascii="Arial" w:hAnsi="Arial"/>
          <w:b/>
        </w:rPr>
        <w:t>Artículo</w:t>
      </w:r>
      <w:r>
        <w:rPr>
          <w:rFonts w:ascii="Arial" w:hAnsi="Arial"/>
          <w:b/>
          <w:spacing w:val="-6"/>
        </w:rPr>
        <w:t> </w:t>
      </w:r>
      <w:r>
        <w:rPr>
          <w:rFonts w:ascii="Arial" w:hAnsi="Arial"/>
          <w:b/>
        </w:rPr>
        <w:t>23.-</w:t>
      </w:r>
      <w:r>
        <w:rPr>
          <w:rFonts w:ascii="Arial" w:hAnsi="Arial"/>
          <w:b/>
          <w:spacing w:val="-5"/>
        </w:rPr>
        <w:t> </w:t>
      </w:r>
      <w:r>
        <w:rPr/>
        <w:t>Los</w:t>
      </w:r>
      <w:r>
        <w:rPr>
          <w:spacing w:val="-4"/>
        </w:rPr>
        <w:t> </w:t>
      </w:r>
      <w:r>
        <w:rPr/>
        <w:t>órganos</w:t>
      </w:r>
      <w:r>
        <w:rPr>
          <w:spacing w:val="-3"/>
        </w:rPr>
        <w:t> </w:t>
      </w:r>
      <w:r>
        <w:rPr/>
        <w:t>del</w:t>
      </w:r>
      <w:r>
        <w:rPr>
          <w:spacing w:val="-6"/>
        </w:rPr>
        <w:t> </w:t>
      </w:r>
      <w:r>
        <w:rPr/>
        <w:t>Instituto</w:t>
      </w:r>
      <w:r>
        <w:rPr>
          <w:spacing w:val="-5"/>
        </w:rPr>
        <w:t> </w:t>
      </w:r>
      <w:r>
        <w:rPr/>
        <w:t>a</w:t>
      </w:r>
      <w:r>
        <w:rPr>
          <w:spacing w:val="-7"/>
        </w:rPr>
        <w:t> </w:t>
      </w:r>
      <w:r>
        <w:rPr/>
        <w:t>que</w:t>
      </w:r>
      <w:r>
        <w:rPr>
          <w:spacing w:val="-7"/>
        </w:rPr>
        <w:t> </w:t>
      </w:r>
      <w:r>
        <w:rPr/>
        <w:t>se</w:t>
      </w:r>
      <w:r>
        <w:rPr>
          <w:spacing w:val="-6"/>
        </w:rPr>
        <w:t> </w:t>
      </w:r>
      <w:r>
        <w:rPr/>
        <w:t>refiere</w:t>
      </w:r>
      <w:r>
        <w:rPr>
          <w:spacing w:val="-6"/>
        </w:rPr>
        <w:t> </w:t>
      </w:r>
      <w:r>
        <w:rPr/>
        <w:t>el</w:t>
      </w:r>
      <w:r>
        <w:rPr>
          <w:spacing w:val="-6"/>
        </w:rPr>
        <w:t> </w:t>
      </w:r>
      <w:r>
        <w:rPr/>
        <w:t>artículo</w:t>
      </w:r>
      <w:r>
        <w:rPr>
          <w:spacing w:val="-6"/>
        </w:rPr>
        <w:t> </w:t>
      </w:r>
      <w:r>
        <w:rPr/>
        <w:t>anterior,</w:t>
      </w:r>
      <w:r>
        <w:rPr>
          <w:spacing w:val="-6"/>
        </w:rPr>
        <w:t> </w:t>
      </w:r>
      <w:r>
        <w:rPr>
          <w:spacing w:val="-2"/>
        </w:rPr>
        <w:t>serán:</w:t>
      </w:r>
    </w:p>
    <w:p>
      <w:pPr>
        <w:pStyle w:val="BodyText"/>
        <w:tabs>
          <w:tab w:pos="858" w:val="left" w:leader="none"/>
        </w:tabs>
        <w:spacing w:before="228"/>
        <w:ind w:left="289"/>
      </w:pPr>
      <w:r>
        <w:rPr>
          <w:rFonts w:ascii="Arial" w:hAnsi="Arial"/>
          <w:b/>
          <w:spacing w:val="-5"/>
        </w:rPr>
        <w:t>I.-</w:t>
      </w:r>
      <w:r>
        <w:rPr>
          <w:rFonts w:ascii="Arial" w:hAnsi="Arial"/>
          <w:b/>
        </w:rPr>
        <w:tab/>
      </w:r>
      <w:r>
        <w:rPr/>
        <w:t>El</w:t>
      </w:r>
      <w:r>
        <w:rPr>
          <w:spacing w:val="-8"/>
        </w:rPr>
        <w:t> </w:t>
      </w:r>
      <w:r>
        <w:rPr/>
        <w:t>director</w:t>
      </w:r>
      <w:r>
        <w:rPr>
          <w:spacing w:val="-5"/>
        </w:rPr>
        <w:t> </w:t>
      </w:r>
      <w:r>
        <w:rPr/>
        <w:t>general,</w:t>
      </w:r>
      <w:r>
        <w:rPr>
          <w:spacing w:val="-6"/>
        </w:rPr>
        <w:t> </w:t>
      </w:r>
      <w:r>
        <w:rPr/>
        <w:t>que</w:t>
      </w:r>
      <w:r>
        <w:rPr>
          <w:spacing w:val="-8"/>
        </w:rPr>
        <w:t> </w:t>
      </w:r>
      <w:r>
        <w:rPr/>
        <w:t>tendrá</w:t>
      </w:r>
      <w:r>
        <w:rPr>
          <w:spacing w:val="-8"/>
        </w:rPr>
        <w:t> </w:t>
      </w:r>
      <w:r>
        <w:rPr/>
        <w:t>la</w:t>
      </w:r>
      <w:r>
        <w:rPr>
          <w:spacing w:val="-7"/>
        </w:rPr>
        <w:t> </w:t>
      </w:r>
      <w:r>
        <w:rPr/>
        <w:t>representación</w:t>
      </w:r>
      <w:r>
        <w:rPr>
          <w:spacing w:val="-9"/>
        </w:rPr>
        <w:t> </w:t>
      </w:r>
      <w:r>
        <w:rPr/>
        <w:t>del</w:t>
      </w:r>
      <w:r>
        <w:rPr>
          <w:spacing w:val="-9"/>
        </w:rPr>
        <w:t> </w:t>
      </w:r>
      <w:r>
        <w:rPr>
          <w:spacing w:val="-2"/>
        </w:rPr>
        <w:t>mismo.</w:t>
      </w:r>
    </w:p>
    <w:p>
      <w:pPr>
        <w:pStyle w:val="BodyText"/>
        <w:spacing w:before="1"/>
      </w:pPr>
    </w:p>
    <w:p>
      <w:pPr>
        <w:pStyle w:val="BodyText"/>
        <w:tabs>
          <w:tab w:pos="858" w:val="left" w:leader="none"/>
        </w:tabs>
        <w:spacing w:line="242" w:lineRule="auto"/>
        <w:ind w:left="858" w:right="153" w:hanging="569"/>
      </w:pPr>
      <w:r>
        <w:rPr>
          <w:rFonts w:ascii="Arial" w:hAnsi="Arial"/>
          <w:b/>
          <w:spacing w:val="-4"/>
        </w:rPr>
        <w:t>II.-</w:t>
      </w:r>
      <w:r>
        <w:rPr>
          <w:rFonts w:ascii="Arial" w:hAnsi="Arial"/>
          <w:b/>
        </w:rPr>
        <w:tab/>
      </w:r>
      <w:r>
        <w:rPr/>
        <w:t>La asamblea general que aprobará sus estatutos, reglamentos, programas y presupuesto. La</w:t>
      </w:r>
      <w:r>
        <w:rPr>
          <w:spacing w:val="40"/>
        </w:rPr>
        <w:t> </w:t>
      </w:r>
      <w:r>
        <w:rPr/>
        <w:t>Reunión Nacional de Funcionarios Fiscales Fungirá como asamblea general del Instituto.</w:t>
      </w:r>
    </w:p>
    <w:p>
      <w:pPr>
        <w:pStyle w:val="BodyText"/>
        <w:tabs>
          <w:tab w:pos="858" w:val="left" w:leader="none"/>
        </w:tabs>
        <w:spacing w:line="242" w:lineRule="auto" w:before="224"/>
        <w:ind w:left="858" w:right="153" w:hanging="569"/>
      </w:pPr>
      <w:r>
        <w:rPr>
          <w:rFonts w:ascii="Arial" w:hAnsi="Arial"/>
          <w:b/>
          <w:spacing w:val="-2"/>
        </w:rPr>
        <w:t>III.-</w:t>
      </w:r>
      <w:r>
        <w:rPr>
          <w:rFonts w:ascii="Arial" w:hAnsi="Arial"/>
          <w:b/>
        </w:rPr>
        <w:tab/>
      </w:r>
      <w:r>
        <w:rPr/>
        <w:t>El consejo directivo que tendrá las facultades que señalen los estatutos. Fungirá como consejo directivo la Comisión Permanente de Funcionarios Fiscales.</w:t>
      </w:r>
    </w:p>
    <w:p>
      <w:pPr>
        <w:pStyle w:val="BodyText"/>
        <w:spacing w:before="227"/>
        <w:ind w:left="1" w:right="148" w:firstLine="288"/>
        <w:jc w:val="both"/>
      </w:pPr>
      <w:bookmarkStart w:name="Artículo_24" w:id="37"/>
      <w:bookmarkEnd w:id="37"/>
      <w:r>
        <w:rPr/>
      </w:r>
      <w:r>
        <w:rPr>
          <w:rFonts w:ascii="Arial" w:hAnsi="Arial"/>
          <w:b/>
        </w:rPr>
        <w:t>Artículo 24.- </w:t>
      </w:r>
      <w:r>
        <w:rPr/>
        <w:t>La Junta de Coordinación Fiscal se integra por los representantes que designe la Secretaría</w:t>
      </w:r>
      <w:r>
        <w:rPr>
          <w:spacing w:val="-2"/>
        </w:rPr>
        <w:t> </w:t>
      </w:r>
      <w:r>
        <w:rPr/>
        <w:t>de</w:t>
      </w:r>
      <w:r>
        <w:rPr>
          <w:spacing w:val="-2"/>
        </w:rPr>
        <w:t> </w:t>
      </w:r>
      <w:r>
        <w:rPr/>
        <w:t>Hacienda</w:t>
      </w:r>
      <w:r>
        <w:rPr>
          <w:spacing w:val="-2"/>
        </w:rPr>
        <w:t> </w:t>
      </w:r>
      <w:r>
        <w:rPr/>
        <w:t>y</w:t>
      </w:r>
      <w:r>
        <w:rPr>
          <w:spacing w:val="-3"/>
        </w:rPr>
        <w:t> </w:t>
      </w:r>
      <w:r>
        <w:rPr/>
        <w:t>Crédito</w:t>
      </w:r>
      <w:r>
        <w:rPr>
          <w:spacing w:val="-4"/>
        </w:rPr>
        <w:t> </w:t>
      </w:r>
      <w:r>
        <w:rPr/>
        <w:t>Público y</w:t>
      </w:r>
      <w:r>
        <w:rPr>
          <w:spacing w:val="-5"/>
        </w:rPr>
        <w:t> </w:t>
      </w:r>
      <w:r>
        <w:rPr/>
        <w:t>los</w:t>
      </w:r>
      <w:r>
        <w:rPr>
          <w:spacing w:val="-3"/>
        </w:rPr>
        <w:t> </w:t>
      </w:r>
      <w:r>
        <w:rPr/>
        <w:t>titulares</w:t>
      </w:r>
      <w:r>
        <w:rPr>
          <w:spacing w:val="-3"/>
        </w:rPr>
        <w:t> </w:t>
      </w:r>
      <w:r>
        <w:rPr/>
        <w:t>de</w:t>
      </w:r>
      <w:r>
        <w:rPr>
          <w:spacing w:val="-3"/>
        </w:rPr>
        <w:t> </w:t>
      </w:r>
      <w:r>
        <w:rPr/>
        <w:t>los</w:t>
      </w:r>
      <w:r>
        <w:rPr>
          <w:spacing w:val="-3"/>
        </w:rPr>
        <w:t> </w:t>
      </w:r>
      <w:r>
        <w:rPr/>
        <w:t>órganos</w:t>
      </w:r>
      <w:r>
        <w:rPr>
          <w:spacing w:val="-3"/>
        </w:rPr>
        <w:t> </w:t>
      </w:r>
      <w:r>
        <w:rPr/>
        <w:t>hacendarios</w:t>
      </w:r>
      <w:r>
        <w:rPr>
          <w:spacing w:val="-3"/>
        </w:rPr>
        <w:t> </w:t>
      </w:r>
      <w:r>
        <w:rPr/>
        <w:t>de</w:t>
      </w:r>
      <w:r>
        <w:rPr>
          <w:spacing w:val="-3"/>
        </w:rPr>
        <w:t> </w:t>
      </w:r>
      <w:r>
        <w:rPr/>
        <w:t>las</w:t>
      </w:r>
      <w:r>
        <w:rPr>
          <w:spacing w:val="-3"/>
        </w:rPr>
        <w:t> </w:t>
      </w:r>
      <w:r>
        <w:rPr/>
        <w:t>ocho</w:t>
      </w:r>
      <w:r>
        <w:rPr>
          <w:spacing w:val="-4"/>
        </w:rPr>
        <w:t> </w:t>
      </w:r>
      <w:r>
        <w:rPr/>
        <w:t>entidades que forman la Comisión Permanente de Funcionarios Fiscales.</w:t>
      </w:r>
    </w:p>
    <w:p>
      <w:pPr>
        <w:spacing w:line="183" w:lineRule="exact" w:before="0"/>
        <w:ind w:left="696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1989</w:t>
      </w:r>
    </w:p>
    <w:p>
      <w:pPr>
        <w:pStyle w:val="BodyText"/>
        <w:spacing w:before="45"/>
        <w:rPr>
          <w:rFonts w:ascii="Times New Roman"/>
          <w:i/>
          <w:sz w:val="16"/>
        </w:rPr>
      </w:pPr>
    </w:p>
    <w:p>
      <w:pPr>
        <w:pStyle w:val="Heading1"/>
        <w:spacing w:line="252" w:lineRule="exact" w:before="0"/>
        <w:ind w:right="1293"/>
      </w:pPr>
      <w:r>
        <w:rPr/>
        <w:t>CAPÍTULO</w:t>
      </w:r>
      <w:r>
        <w:rPr>
          <w:spacing w:val="-7"/>
        </w:rPr>
        <w:t> </w:t>
      </w:r>
      <w:r>
        <w:rPr>
          <w:spacing w:val="-12"/>
        </w:rPr>
        <w:t>V</w:t>
      </w:r>
    </w:p>
    <w:p>
      <w:pPr>
        <w:pStyle w:val="Heading2"/>
        <w:spacing w:line="252" w:lineRule="exact"/>
        <w:ind w:left="0" w:right="139"/>
      </w:pPr>
      <w:r>
        <w:rPr/>
        <w:t>De</w:t>
      </w:r>
      <w:r>
        <w:rPr>
          <w:spacing w:val="-5"/>
        </w:rPr>
        <w:t> </w:t>
      </w:r>
      <w:r>
        <w:rPr/>
        <w:t>los</w:t>
      </w:r>
      <w:r>
        <w:rPr>
          <w:spacing w:val="-4"/>
        </w:rPr>
        <w:t> </w:t>
      </w:r>
      <w:r>
        <w:rPr/>
        <w:t>Fondos</w:t>
      </w:r>
      <w:r>
        <w:rPr>
          <w:spacing w:val="-6"/>
        </w:rPr>
        <w:t> </w:t>
      </w:r>
      <w:r>
        <w:rPr/>
        <w:t>de</w:t>
      </w:r>
      <w:r>
        <w:rPr>
          <w:spacing w:val="-5"/>
        </w:rPr>
        <w:t> </w:t>
      </w:r>
      <w:r>
        <w:rPr/>
        <w:t>Aportaciones</w:t>
      </w:r>
      <w:r>
        <w:rPr>
          <w:spacing w:val="-5"/>
        </w:rPr>
        <w:t> </w:t>
      </w:r>
      <w:r>
        <w:rPr>
          <w:spacing w:val="-2"/>
        </w:rPr>
        <w:t>Federales</w:t>
      </w:r>
    </w:p>
    <w:p>
      <w:pPr>
        <w:spacing w:before="2"/>
        <w:ind w:left="693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29-12-</w:t>
      </w:r>
      <w:r>
        <w:rPr>
          <w:rFonts w:ascii="Times New Roman" w:hAnsi="Times New Roman"/>
          <w:i/>
          <w:color w:val="0000FF"/>
          <w:spacing w:val="-4"/>
          <w:sz w:val="16"/>
        </w:rPr>
        <w:t>1997</w:t>
      </w:r>
    </w:p>
    <w:p>
      <w:pPr>
        <w:pStyle w:val="BodyText"/>
        <w:spacing w:before="1"/>
        <w:rPr>
          <w:rFonts w:ascii="Times New Roman"/>
          <w:i/>
        </w:rPr>
      </w:pPr>
    </w:p>
    <w:p>
      <w:pPr>
        <w:pStyle w:val="BodyText"/>
        <w:ind w:left="1" w:right="142" w:firstLine="288"/>
        <w:jc w:val="both"/>
      </w:pPr>
      <w:bookmarkStart w:name="Artículo_25" w:id="38"/>
      <w:bookmarkEnd w:id="38"/>
      <w:r>
        <w:rPr/>
      </w:r>
      <w:r>
        <w:rPr>
          <w:rFonts w:ascii="Arial" w:hAnsi="Arial"/>
          <w:b/>
        </w:rPr>
        <w:t>Artículo 25.- </w:t>
      </w:r>
      <w:r>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pPr>
        <w:spacing w:before="0"/>
        <w:ind w:left="703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1998</w:t>
      </w:r>
    </w:p>
    <w:p>
      <w:pPr>
        <w:pStyle w:val="BodyText"/>
        <w:spacing w:before="45"/>
        <w:rPr>
          <w:rFonts w:ascii="Times New Roman"/>
          <w:i/>
          <w:sz w:val="16"/>
        </w:rPr>
      </w:pPr>
    </w:p>
    <w:p>
      <w:pPr>
        <w:pStyle w:val="ListParagraph"/>
        <w:numPr>
          <w:ilvl w:val="0"/>
          <w:numId w:val="7"/>
        </w:numPr>
        <w:tabs>
          <w:tab w:pos="834" w:val="left" w:leader="none"/>
        </w:tabs>
        <w:spacing w:line="240" w:lineRule="auto" w:before="0" w:after="0"/>
        <w:ind w:left="834" w:right="0" w:hanging="545"/>
        <w:jc w:val="left"/>
        <w:rPr>
          <w:sz w:val="20"/>
        </w:rPr>
      </w:pPr>
      <w:r>
        <w:rPr>
          <w:sz w:val="20"/>
        </w:rPr>
        <w:t>Fondo</w:t>
      </w:r>
      <w:r>
        <w:rPr>
          <w:spacing w:val="-7"/>
          <w:sz w:val="20"/>
        </w:rPr>
        <w:t> </w:t>
      </w:r>
      <w:r>
        <w:rPr>
          <w:sz w:val="20"/>
        </w:rPr>
        <w:t>de</w:t>
      </w:r>
      <w:r>
        <w:rPr>
          <w:spacing w:val="-6"/>
          <w:sz w:val="20"/>
        </w:rPr>
        <w:t> </w:t>
      </w:r>
      <w:r>
        <w:rPr>
          <w:sz w:val="20"/>
        </w:rPr>
        <w:t>Aportaciones</w:t>
      </w:r>
      <w:r>
        <w:rPr>
          <w:spacing w:val="-6"/>
          <w:sz w:val="20"/>
        </w:rPr>
        <w:t> </w:t>
      </w:r>
      <w:r>
        <w:rPr>
          <w:sz w:val="20"/>
        </w:rPr>
        <w:t>para</w:t>
      </w:r>
      <w:r>
        <w:rPr>
          <w:spacing w:val="-7"/>
          <w:sz w:val="20"/>
        </w:rPr>
        <w:t> </w:t>
      </w:r>
      <w:r>
        <w:rPr>
          <w:sz w:val="20"/>
        </w:rPr>
        <w:t>la</w:t>
      </w:r>
      <w:r>
        <w:rPr>
          <w:spacing w:val="-5"/>
          <w:sz w:val="20"/>
        </w:rPr>
        <w:t> </w:t>
      </w:r>
      <w:r>
        <w:rPr>
          <w:sz w:val="20"/>
        </w:rPr>
        <w:t>Nómina</w:t>
      </w:r>
      <w:r>
        <w:rPr>
          <w:spacing w:val="-8"/>
          <w:sz w:val="20"/>
        </w:rPr>
        <w:t> </w:t>
      </w:r>
      <w:r>
        <w:rPr>
          <w:sz w:val="20"/>
        </w:rPr>
        <w:t>Educativa</w:t>
      </w:r>
      <w:r>
        <w:rPr>
          <w:spacing w:val="-4"/>
          <w:sz w:val="20"/>
        </w:rPr>
        <w:t> </w:t>
      </w:r>
      <w:r>
        <w:rPr>
          <w:sz w:val="20"/>
        </w:rPr>
        <w:t>y</w:t>
      </w:r>
      <w:r>
        <w:rPr>
          <w:spacing w:val="-10"/>
          <w:sz w:val="20"/>
        </w:rPr>
        <w:t> </w:t>
      </w:r>
      <w:r>
        <w:rPr>
          <w:sz w:val="20"/>
        </w:rPr>
        <w:t>Gasto</w:t>
      </w:r>
      <w:r>
        <w:rPr>
          <w:spacing w:val="-8"/>
          <w:sz w:val="20"/>
        </w:rPr>
        <w:t> </w:t>
      </w:r>
      <w:r>
        <w:rPr>
          <w:spacing w:val="-2"/>
          <w:sz w:val="20"/>
        </w:rPr>
        <w:t>Operativo;</w:t>
      </w:r>
    </w:p>
    <w:p>
      <w:pPr>
        <w:spacing w:before="0"/>
        <w:ind w:left="695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7"/>
        </w:numPr>
        <w:tabs>
          <w:tab w:pos="834" w:val="left" w:leader="none"/>
        </w:tabs>
        <w:spacing w:line="240" w:lineRule="auto" w:before="0" w:after="0"/>
        <w:ind w:left="834" w:right="0" w:hanging="545"/>
        <w:jc w:val="left"/>
        <w:rPr>
          <w:sz w:val="20"/>
        </w:rPr>
      </w:pPr>
      <w:r>
        <w:rPr>
          <w:sz w:val="20"/>
        </w:rPr>
        <w:t>Fondo</w:t>
      </w:r>
      <w:r>
        <w:rPr>
          <w:spacing w:val="-7"/>
          <w:sz w:val="20"/>
        </w:rPr>
        <w:t> </w:t>
      </w:r>
      <w:r>
        <w:rPr>
          <w:sz w:val="20"/>
        </w:rPr>
        <w:t>de</w:t>
      </w:r>
      <w:r>
        <w:rPr>
          <w:spacing w:val="-7"/>
          <w:sz w:val="20"/>
        </w:rPr>
        <w:t> </w:t>
      </w:r>
      <w:r>
        <w:rPr>
          <w:sz w:val="20"/>
        </w:rPr>
        <w:t>Aportaciones</w:t>
      </w:r>
      <w:r>
        <w:rPr>
          <w:spacing w:val="-7"/>
          <w:sz w:val="20"/>
        </w:rPr>
        <w:t> </w:t>
      </w:r>
      <w:r>
        <w:rPr>
          <w:sz w:val="20"/>
        </w:rPr>
        <w:t>para</w:t>
      </w:r>
      <w:r>
        <w:rPr>
          <w:spacing w:val="-7"/>
          <w:sz w:val="20"/>
        </w:rPr>
        <w:t> </w:t>
      </w:r>
      <w:r>
        <w:rPr>
          <w:sz w:val="20"/>
        </w:rPr>
        <w:t>los</w:t>
      </w:r>
      <w:r>
        <w:rPr>
          <w:spacing w:val="-5"/>
          <w:sz w:val="20"/>
        </w:rPr>
        <w:t> </w:t>
      </w:r>
      <w:r>
        <w:rPr>
          <w:sz w:val="20"/>
        </w:rPr>
        <w:t>Servicios</w:t>
      </w:r>
      <w:r>
        <w:rPr>
          <w:spacing w:val="-7"/>
          <w:sz w:val="20"/>
        </w:rPr>
        <w:t> </w:t>
      </w:r>
      <w:r>
        <w:rPr>
          <w:sz w:val="20"/>
        </w:rPr>
        <w:t>de</w:t>
      </w:r>
      <w:r>
        <w:rPr>
          <w:spacing w:val="-7"/>
          <w:sz w:val="20"/>
        </w:rPr>
        <w:t> </w:t>
      </w:r>
      <w:r>
        <w:rPr>
          <w:spacing w:val="-2"/>
          <w:sz w:val="20"/>
        </w:rPr>
        <w:t>Salud;</w:t>
      </w:r>
    </w:p>
    <w:p>
      <w:pPr>
        <w:pStyle w:val="ListParagraph"/>
        <w:spacing w:after="0" w:line="240" w:lineRule="auto"/>
        <w:jc w:val="left"/>
        <w:rPr>
          <w:sz w:val="20"/>
        </w:rPr>
        <w:sectPr>
          <w:pgSz w:w="12250" w:h="15850"/>
          <w:pgMar w:header="724" w:footer="712" w:top="1880" w:bottom="900" w:left="1417" w:right="1275"/>
        </w:sectPr>
      </w:pPr>
    </w:p>
    <w:p>
      <w:pPr>
        <w:pStyle w:val="BodyText"/>
      </w:pPr>
    </w:p>
    <w:p>
      <w:pPr>
        <w:pStyle w:val="BodyText"/>
        <w:spacing w:before="65"/>
      </w:pPr>
    </w:p>
    <w:p>
      <w:pPr>
        <w:pStyle w:val="ListParagraph"/>
        <w:numPr>
          <w:ilvl w:val="0"/>
          <w:numId w:val="7"/>
        </w:numPr>
        <w:tabs>
          <w:tab w:pos="834" w:val="left" w:leader="none"/>
        </w:tabs>
        <w:spacing w:line="240" w:lineRule="auto" w:before="0" w:after="0"/>
        <w:ind w:left="834" w:right="0" w:hanging="545"/>
        <w:jc w:val="left"/>
        <w:rPr>
          <w:sz w:val="20"/>
        </w:rPr>
      </w:pPr>
      <w:r>
        <w:rPr>
          <w:sz w:val="20"/>
        </w:rPr>
        <w:t>Fondo</w:t>
      </w:r>
      <w:r>
        <w:rPr>
          <w:spacing w:val="-9"/>
          <w:sz w:val="20"/>
        </w:rPr>
        <w:t> </w:t>
      </w:r>
      <w:r>
        <w:rPr>
          <w:sz w:val="20"/>
        </w:rPr>
        <w:t>de</w:t>
      </w:r>
      <w:r>
        <w:rPr>
          <w:spacing w:val="-8"/>
          <w:sz w:val="20"/>
        </w:rPr>
        <w:t> </w:t>
      </w:r>
      <w:r>
        <w:rPr>
          <w:sz w:val="20"/>
        </w:rPr>
        <w:t>Aportaciones</w:t>
      </w:r>
      <w:r>
        <w:rPr>
          <w:spacing w:val="-9"/>
          <w:sz w:val="20"/>
        </w:rPr>
        <w:t> </w:t>
      </w:r>
      <w:r>
        <w:rPr>
          <w:sz w:val="20"/>
        </w:rPr>
        <w:t>para</w:t>
      </w:r>
      <w:r>
        <w:rPr>
          <w:spacing w:val="-9"/>
          <w:sz w:val="20"/>
        </w:rPr>
        <w:t> </w:t>
      </w:r>
      <w:r>
        <w:rPr>
          <w:sz w:val="20"/>
        </w:rPr>
        <w:t>la</w:t>
      </w:r>
      <w:r>
        <w:rPr>
          <w:spacing w:val="-8"/>
          <w:sz w:val="20"/>
        </w:rPr>
        <w:t> </w:t>
      </w:r>
      <w:r>
        <w:rPr>
          <w:sz w:val="20"/>
        </w:rPr>
        <w:t>Infraestructura</w:t>
      </w:r>
      <w:r>
        <w:rPr>
          <w:spacing w:val="-8"/>
          <w:sz w:val="20"/>
        </w:rPr>
        <w:t> </w:t>
      </w:r>
      <w:r>
        <w:rPr>
          <w:spacing w:val="-2"/>
          <w:sz w:val="20"/>
        </w:rPr>
        <w:t>Social;</w:t>
      </w:r>
    </w:p>
    <w:p>
      <w:pPr>
        <w:pStyle w:val="ListParagraph"/>
        <w:numPr>
          <w:ilvl w:val="0"/>
          <w:numId w:val="7"/>
        </w:numPr>
        <w:tabs>
          <w:tab w:pos="834" w:val="left" w:leader="none"/>
        </w:tabs>
        <w:spacing w:line="242" w:lineRule="auto" w:before="229" w:after="0"/>
        <w:ind w:left="834" w:right="153" w:hanging="545"/>
        <w:jc w:val="left"/>
        <w:rPr>
          <w:sz w:val="20"/>
        </w:rPr>
      </w:pPr>
      <w:r>
        <w:rPr>
          <w:sz w:val="20"/>
        </w:rPr>
        <w:t>Fondo</w:t>
      </w:r>
      <w:r>
        <w:rPr>
          <w:spacing w:val="40"/>
          <w:sz w:val="20"/>
        </w:rPr>
        <w:t> </w:t>
      </w:r>
      <w:r>
        <w:rPr>
          <w:sz w:val="20"/>
        </w:rPr>
        <w:t>de</w:t>
      </w:r>
      <w:r>
        <w:rPr>
          <w:spacing w:val="40"/>
          <w:sz w:val="20"/>
        </w:rPr>
        <w:t> </w:t>
      </w:r>
      <w:r>
        <w:rPr>
          <w:sz w:val="20"/>
        </w:rPr>
        <w:t>Aportaciones</w:t>
      </w:r>
      <w:r>
        <w:rPr>
          <w:spacing w:val="40"/>
          <w:sz w:val="20"/>
        </w:rPr>
        <w:t> </w:t>
      </w:r>
      <w:r>
        <w:rPr>
          <w:sz w:val="20"/>
        </w:rPr>
        <w:t>para</w:t>
      </w:r>
      <w:r>
        <w:rPr>
          <w:spacing w:val="40"/>
          <w:sz w:val="20"/>
        </w:rPr>
        <w:t> </w:t>
      </w:r>
      <w:r>
        <w:rPr>
          <w:sz w:val="20"/>
        </w:rPr>
        <w:t>el</w:t>
      </w:r>
      <w:r>
        <w:rPr>
          <w:spacing w:val="40"/>
          <w:sz w:val="20"/>
        </w:rPr>
        <w:t> </w:t>
      </w:r>
      <w:r>
        <w:rPr>
          <w:sz w:val="20"/>
        </w:rPr>
        <w:t>Fortalecimiento</w:t>
      </w:r>
      <w:r>
        <w:rPr>
          <w:spacing w:val="40"/>
          <w:sz w:val="20"/>
        </w:rPr>
        <w:t> </w:t>
      </w:r>
      <w:r>
        <w:rPr>
          <w:sz w:val="20"/>
        </w:rPr>
        <w:t>de</w:t>
      </w:r>
      <w:r>
        <w:rPr>
          <w:spacing w:val="40"/>
          <w:sz w:val="20"/>
        </w:rPr>
        <w:t> </w:t>
      </w:r>
      <w:r>
        <w:rPr>
          <w:sz w:val="20"/>
        </w:rPr>
        <w:t>los</w:t>
      </w:r>
      <w:r>
        <w:rPr>
          <w:spacing w:val="40"/>
          <w:sz w:val="20"/>
        </w:rPr>
        <w:t> </w:t>
      </w:r>
      <w:r>
        <w:rPr>
          <w:sz w:val="20"/>
        </w:rPr>
        <w:t>Municipios</w:t>
      </w:r>
      <w:r>
        <w:rPr>
          <w:spacing w:val="40"/>
          <w:sz w:val="20"/>
        </w:rPr>
        <w:t> </w:t>
      </w:r>
      <w:r>
        <w:rPr>
          <w:sz w:val="20"/>
        </w:rPr>
        <w:t>y</w:t>
      </w:r>
      <w:r>
        <w:rPr>
          <w:spacing w:val="40"/>
          <w:sz w:val="20"/>
        </w:rPr>
        <w:t> </w:t>
      </w:r>
      <w:r>
        <w:rPr>
          <w:sz w:val="20"/>
        </w:rPr>
        <w:t>de</w:t>
      </w:r>
      <w:r>
        <w:rPr>
          <w:spacing w:val="40"/>
          <w:sz w:val="20"/>
        </w:rPr>
        <w:t> </w:t>
      </w:r>
      <w:r>
        <w:rPr>
          <w:sz w:val="20"/>
        </w:rPr>
        <w:t>las</w:t>
      </w:r>
      <w:r>
        <w:rPr>
          <w:spacing w:val="40"/>
          <w:sz w:val="20"/>
        </w:rPr>
        <w:t> </w:t>
      </w:r>
      <w:r>
        <w:rPr>
          <w:sz w:val="20"/>
        </w:rPr>
        <w:t>Demarcaciones Territoriales del Distrito Federal;</w:t>
      </w:r>
    </w:p>
    <w:p>
      <w:pPr>
        <w:spacing w:line="180" w:lineRule="exact" w:before="0"/>
        <w:ind w:left="6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31-12-1998,</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1"/>
        <w:rPr>
          <w:rFonts w:ascii="Times New Roman"/>
          <w:i/>
        </w:rPr>
      </w:pPr>
    </w:p>
    <w:p>
      <w:pPr>
        <w:pStyle w:val="ListParagraph"/>
        <w:numPr>
          <w:ilvl w:val="0"/>
          <w:numId w:val="7"/>
        </w:numPr>
        <w:tabs>
          <w:tab w:pos="834" w:val="left" w:leader="none"/>
        </w:tabs>
        <w:spacing w:line="240" w:lineRule="auto" w:before="0" w:after="0"/>
        <w:ind w:left="834" w:right="0" w:hanging="545"/>
        <w:jc w:val="left"/>
        <w:rPr>
          <w:sz w:val="20"/>
        </w:rPr>
      </w:pPr>
      <w:r>
        <w:rPr>
          <w:sz w:val="20"/>
        </w:rPr>
        <w:t>Fondo</w:t>
      </w:r>
      <w:r>
        <w:rPr>
          <w:spacing w:val="-9"/>
          <w:sz w:val="20"/>
        </w:rPr>
        <w:t> </w:t>
      </w:r>
      <w:r>
        <w:rPr>
          <w:sz w:val="20"/>
        </w:rPr>
        <w:t>de</w:t>
      </w:r>
      <w:r>
        <w:rPr>
          <w:spacing w:val="-9"/>
          <w:sz w:val="20"/>
        </w:rPr>
        <w:t> </w:t>
      </w:r>
      <w:r>
        <w:rPr>
          <w:sz w:val="20"/>
        </w:rPr>
        <w:t>Aportaciones</w:t>
      </w:r>
      <w:r>
        <w:rPr>
          <w:spacing w:val="-8"/>
          <w:sz w:val="20"/>
        </w:rPr>
        <w:t> </w:t>
      </w:r>
      <w:r>
        <w:rPr>
          <w:spacing w:val="-2"/>
          <w:sz w:val="20"/>
        </w:rPr>
        <w:t>Múltiples.</w:t>
      </w:r>
    </w:p>
    <w:p>
      <w:pPr>
        <w:pStyle w:val="BodyText"/>
        <w:tabs>
          <w:tab w:pos="834" w:val="left" w:leader="none"/>
        </w:tabs>
        <w:spacing w:before="229"/>
        <w:ind w:left="289"/>
      </w:pPr>
      <w:r>
        <w:rPr>
          <w:rFonts w:ascii="Arial" w:hAnsi="Arial"/>
          <w:b/>
          <w:spacing w:val="-4"/>
        </w:rPr>
        <w:t>VI.-</w:t>
      </w:r>
      <w:r>
        <w:rPr>
          <w:rFonts w:ascii="Arial" w:hAnsi="Arial"/>
          <w:b/>
        </w:rPr>
        <w:tab/>
      </w:r>
      <w:r>
        <w:rPr/>
        <w:t>Fondo</w:t>
      </w:r>
      <w:r>
        <w:rPr>
          <w:spacing w:val="-7"/>
        </w:rPr>
        <w:t> </w:t>
      </w:r>
      <w:r>
        <w:rPr/>
        <w:t>de</w:t>
      </w:r>
      <w:r>
        <w:rPr>
          <w:spacing w:val="-7"/>
        </w:rPr>
        <w:t> </w:t>
      </w:r>
      <w:r>
        <w:rPr/>
        <w:t>Aportaciones</w:t>
      </w:r>
      <w:r>
        <w:rPr>
          <w:spacing w:val="-7"/>
        </w:rPr>
        <w:t> </w:t>
      </w:r>
      <w:r>
        <w:rPr/>
        <w:t>para</w:t>
      </w:r>
      <w:r>
        <w:rPr>
          <w:spacing w:val="-8"/>
        </w:rPr>
        <w:t> </w:t>
      </w:r>
      <w:r>
        <w:rPr/>
        <w:t>la</w:t>
      </w:r>
      <w:r>
        <w:rPr>
          <w:spacing w:val="-6"/>
        </w:rPr>
        <w:t> </w:t>
      </w:r>
      <w:r>
        <w:rPr/>
        <w:t>Educación</w:t>
      </w:r>
      <w:r>
        <w:rPr>
          <w:spacing w:val="-8"/>
        </w:rPr>
        <w:t> </w:t>
      </w:r>
      <w:r>
        <w:rPr/>
        <w:t>Tecnológica</w:t>
      </w:r>
      <w:r>
        <w:rPr>
          <w:spacing w:val="-4"/>
        </w:rPr>
        <w:t> </w:t>
      </w:r>
      <w:r>
        <w:rPr/>
        <w:t>y</w:t>
      </w:r>
      <w:r>
        <w:rPr>
          <w:spacing w:val="-11"/>
        </w:rPr>
        <w:t> </w:t>
      </w:r>
      <w:r>
        <w:rPr/>
        <w:t>de</w:t>
      </w:r>
      <w:r>
        <w:rPr>
          <w:spacing w:val="-8"/>
        </w:rPr>
        <w:t> </w:t>
      </w:r>
      <w:r>
        <w:rPr/>
        <w:t>Adultos,</w:t>
      </w:r>
      <w:r>
        <w:rPr>
          <w:spacing w:val="-3"/>
        </w:rPr>
        <w:t> </w:t>
      </w:r>
      <w:r>
        <w:rPr>
          <w:spacing w:val="-10"/>
        </w:rPr>
        <w:t>y</w:t>
      </w:r>
    </w:p>
    <w:p>
      <w:pPr>
        <w:spacing w:before="0"/>
        <w:ind w:left="690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1998</w:t>
      </w:r>
    </w:p>
    <w:p>
      <w:pPr>
        <w:pStyle w:val="BodyText"/>
        <w:spacing w:before="45"/>
        <w:rPr>
          <w:rFonts w:ascii="Times New Roman"/>
          <w:i/>
          <w:sz w:val="16"/>
        </w:rPr>
      </w:pPr>
    </w:p>
    <w:p>
      <w:pPr>
        <w:pStyle w:val="BodyText"/>
        <w:ind w:left="289"/>
      </w:pPr>
      <w:r>
        <w:rPr>
          <w:rFonts w:ascii="Arial" w:hAnsi="Arial"/>
          <w:b/>
        </w:rPr>
        <w:t>VII.-</w:t>
      </w:r>
      <w:r>
        <w:rPr>
          <w:rFonts w:ascii="Arial" w:hAnsi="Arial"/>
          <w:b/>
          <w:spacing w:val="26"/>
        </w:rPr>
        <w:t>  </w:t>
      </w:r>
      <w:r>
        <w:rPr/>
        <w:t>Fondo</w:t>
      </w:r>
      <w:r>
        <w:rPr>
          <w:spacing w:val="-5"/>
        </w:rPr>
        <w:t> </w:t>
      </w:r>
      <w:r>
        <w:rPr/>
        <w:t>de</w:t>
      </w:r>
      <w:r>
        <w:rPr>
          <w:spacing w:val="-6"/>
        </w:rPr>
        <w:t> </w:t>
      </w:r>
      <w:r>
        <w:rPr/>
        <w:t>Aportaciones</w:t>
      </w:r>
      <w:r>
        <w:rPr>
          <w:spacing w:val="-5"/>
        </w:rPr>
        <w:t> </w:t>
      </w:r>
      <w:r>
        <w:rPr/>
        <w:t>para</w:t>
      </w:r>
      <w:r>
        <w:rPr>
          <w:spacing w:val="-6"/>
        </w:rPr>
        <w:t> </w:t>
      </w:r>
      <w:r>
        <w:rPr/>
        <w:t>la</w:t>
      </w:r>
      <w:r>
        <w:rPr>
          <w:spacing w:val="-2"/>
        </w:rPr>
        <w:t> </w:t>
      </w:r>
      <w:r>
        <w:rPr/>
        <w:t>Seguridad</w:t>
      </w:r>
      <w:r>
        <w:rPr>
          <w:spacing w:val="-4"/>
        </w:rPr>
        <w:t> </w:t>
      </w:r>
      <w:r>
        <w:rPr/>
        <w:t>Pública</w:t>
      </w:r>
      <w:r>
        <w:rPr>
          <w:spacing w:val="-6"/>
        </w:rPr>
        <w:t> </w:t>
      </w:r>
      <w:r>
        <w:rPr/>
        <w:t>de</w:t>
      </w:r>
      <w:r>
        <w:rPr>
          <w:spacing w:val="-6"/>
        </w:rPr>
        <w:t> </w:t>
      </w:r>
      <w:r>
        <w:rPr/>
        <w:t>los</w:t>
      </w:r>
      <w:r>
        <w:rPr>
          <w:spacing w:val="-6"/>
        </w:rPr>
        <w:t> </w:t>
      </w:r>
      <w:r>
        <w:rPr/>
        <w:t>Estados</w:t>
      </w:r>
      <w:r>
        <w:rPr>
          <w:spacing w:val="-3"/>
        </w:rPr>
        <w:t> </w:t>
      </w:r>
      <w:r>
        <w:rPr/>
        <w:t>y</w:t>
      </w:r>
      <w:r>
        <w:rPr>
          <w:spacing w:val="-7"/>
        </w:rPr>
        <w:t> </w:t>
      </w:r>
      <w:r>
        <w:rPr/>
        <w:t>del</w:t>
      </w:r>
      <w:r>
        <w:rPr>
          <w:spacing w:val="-5"/>
        </w:rPr>
        <w:t> </w:t>
      </w:r>
      <w:r>
        <w:rPr/>
        <w:t>Distrito</w:t>
      </w:r>
      <w:r>
        <w:rPr>
          <w:spacing w:val="-7"/>
        </w:rPr>
        <w:t> </w:t>
      </w:r>
      <w:r>
        <w:rPr>
          <w:spacing w:val="-2"/>
        </w:rPr>
        <w:t>Federal.</w:t>
      </w:r>
    </w:p>
    <w:p>
      <w:pPr>
        <w:spacing w:before="1"/>
        <w:ind w:left="690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1998</w:t>
      </w:r>
    </w:p>
    <w:p>
      <w:pPr>
        <w:pStyle w:val="BodyText"/>
        <w:spacing w:before="47"/>
        <w:rPr>
          <w:rFonts w:ascii="Times New Roman"/>
          <w:i/>
          <w:sz w:val="16"/>
        </w:rPr>
      </w:pPr>
    </w:p>
    <w:p>
      <w:pPr>
        <w:pStyle w:val="BodyText"/>
        <w:spacing w:line="229" w:lineRule="exact"/>
        <w:ind w:left="289"/>
      </w:pPr>
      <w:r>
        <w:rPr>
          <w:rFonts w:ascii="Arial"/>
          <w:b/>
        </w:rPr>
        <w:t>VIII.-</w:t>
      </w:r>
      <w:r>
        <w:rPr>
          <w:rFonts w:ascii="Arial"/>
          <w:b/>
          <w:spacing w:val="53"/>
        </w:rPr>
        <w:t> </w:t>
      </w:r>
      <w:r>
        <w:rPr/>
        <w:t>Fondo</w:t>
      </w:r>
      <w:r>
        <w:rPr>
          <w:spacing w:val="-7"/>
        </w:rPr>
        <w:t> </w:t>
      </w:r>
      <w:r>
        <w:rPr/>
        <w:t>de</w:t>
      </w:r>
      <w:r>
        <w:rPr>
          <w:spacing w:val="-7"/>
        </w:rPr>
        <w:t> </w:t>
      </w:r>
      <w:r>
        <w:rPr/>
        <w:t>Aportaciones</w:t>
      </w:r>
      <w:r>
        <w:rPr>
          <w:spacing w:val="-7"/>
        </w:rPr>
        <w:t> </w:t>
      </w:r>
      <w:r>
        <w:rPr/>
        <w:t>para</w:t>
      </w:r>
      <w:r>
        <w:rPr>
          <w:spacing w:val="-8"/>
        </w:rPr>
        <w:t> </w:t>
      </w:r>
      <w:r>
        <w:rPr/>
        <w:t>el</w:t>
      </w:r>
      <w:r>
        <w:rPr>
          <w:spacing w:val="-7"/>
        </w:rPr>
        <w:t> </w:t>
      </w:r>
      <w:r>
        <w:rPr/>
        <w:t>Fortalecimiento</w:t>
      </w:r>
      <w:r>
        <w:rPr>
          <w:spacing w:val="-6"/>
        </w:rPr>
        <w:t> </w:t>
      </w:r>
      <w:r>
        <w:rPr/>
        <w:t>de</w:t>
      </w:r>
      <w:r>
        <w:rPr>
          <w:spacing w:val="-7"/>
        </w:rPr>
        <w:t> </w:t>
      </w:r>
      <w:r>
        <w:rPr/>
        <w:t>las</w:t>
      </w:r>
      <w:r>
        <w:rPr>
          <w:spacing w:val="-5"/>
        </w:rPr>
        <w:t> </w:t>
      </w:r>
      <w:r>
        <w:rPr/>
        <w:t>Entidades</w:t>
      </w:r>
      <w:r>
        <w:rPr>
          <w:spacing w:val="-7"/>
        </w:rPr>
        <w:t> </w:t>
      </w:r>
      <w:r>
        <w:rPr>
          <w:spacing w:val="-2"/>
        </w:rPr>
        <w:t>Federativas.</w:t>
      </w:r>
    </w:p>
    <w:p>
      <w:pPr>
        <w:spacing w:line="183" w:lineRule="exact" w:before="0"/>
        <w:ind w:left="690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2006</w:t>
      </w:r>
    </w:p>
    <w:p>
      <w:pPr>
        <w:pStyle w:val="BodyText"/>
        <w:spacing w:before="50"/>
        <w:rPr>
          <w:rFonts w:ascii="Times New Roman"/>
          <w:i/>
          <w:sz w:val="16"/>
        </w:rPr>
      </w:pPr>
    </w:p>
    <w:p>
      <w:pPr>
        <w:pStyle w:val="BodyText"/>
        <w:ind w:left="1" w:right="148" w:firstLine="288"/>
        <w:jc w:val="both"/>
      </w:pPr>
      <w:r>
        <w:rPr/>
        <w:t>Dichos Fondos se integrarán, distribuirán, administrarán, ejercerán y supervisarán, de acuerdo a lo dispuesto en el presente Capítulo.</w:t>
      </w:r>
    </w:p>
    <w:p>
      <w:pPr>
        <w:pStyle w:val="BodyText"/>
        <w:spacing w:before="1"/>
      </w:pPr>
    </w:p>
    <w:p>
      <w:pPr>
        <w:pStyle w:val="BodyText"/>
        <w:ind w:left="1" w:right="146" w:firstLine="288"/>
        <w:jc w:val="both"/>
      </w:pPr>
      <w:r>
        <w:rPr/>
        <w:t>El Fondo de Aportaciones para la Nómina Educativa y Gasto Operativo será administrado por la Secretaría de Hacienda y Crédito Público, y la transferencia de los recursos de dicho Fondo se realizará en los términos previstos en el artículo 26-A de esta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1" w:right="152" w:firstLine="288"/>
        <w:jc w:val="both"/>
      </w:pPr>
      <w:r>
        <w:rPr/>
        <w:t>Las entidades federativas que no suscriban el convenio mencionado en el artículo 77 bis 16 A, de la Ley General de Salud, se sujetarán a lo previsto en la presente Ley, respecto del Fondo de Aportaciones para los Servicios de Salud.</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03-01-</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 w:right="142" w:firstLine="288"/>
        <w:jc w:val="both"/>
      </w:pPr>
      <w:r>
        <w:rPr/>
        <w:t>En el caso de las entidades federativas que suscriban o hayan suscrito el convenio previsto en el artículo 77 bis 16 A de la Ley</w:t>
      </w:r>
      <w:r>
        <w:rPr>
          <w:spacing w:val="-1"/>
        </w:rPr>
        <w:t> </w:t>
      </w:r>
      <w:r>
        <w:rPr/>
        <w:t>General de Salud con Servicios de Salud del Instituto Mexicano del Seguro Social para el Bienestar (IMSS-BIENESTAR) recibirán el monto de los recursos que correspondan del Fondo de Aportaciones para los Servicios de Salud, con objeto de destinarlo a las obligaciones que conserven en términos de la Ley General de Salud, de conformidad con lo que se señale en el convenio antes citado.</w:t>
      </w:r>
    </w:p>
    <w:p>
      <w:pPr>
        <w:spacing w:line="240" w:lineRule="auto" w:before="0"/>
        <w:ind w:left="6967" w:right="138"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w:t>
      </w:r>
      <w:r>
        <w:rPr>
          <w:rFonts w:ascii="Times New Roman" w:hAnsi="Times New Roman"/>
          <w:i/>
          <w:color w:val="0000FF"/>
          <w:spacing w:val="-4"/>
          <w:sz w:val="16"/>
        </w:rPr>
        <w:t>1997</w:t>
      </w:r>
    </w:p>
    <w:p>
      <w:pPr>
        <w:pStyle w:val="BodyText"/>
        <w:spacing w:before="46"/>
        <w:rPr>
          <w:rFonts w:ascii="Times New Roman"/>
          <w:i/>
          <w:sz w:val="16"/>
        </w:rPr>
      </w:pPr>
    </w:p>
    <w:p>
      <w:pPr>
        <w:pStyle w:val="BodyText"/>
        <w:ind w:left="1" w:right="135" w:firstLine="288"/>
        <w:jc w:val="both"/>
      </w:pPr>
      <w:bookmarkStart w:name="Artículo_26" w:id="39"/>
      <w:bookmarkEnd w:id="39"/>
      <w:r>
        <w:rPr/>
      </w:r>
      <w:r>
        <w:rPr>
          <w:rFonts w:ascii="Arial" w:hAnsi="Arial"/>
          <w:b/>
        </w:rPr>
        <w:t>Artículo 26.- </w:t>
      </w:r>
      <w:r>
        <w:rPr/>
        <w:t>Con cargo a las aportaciones del Fondo de Aportaciones para la Nómina Educativa y Gasto Operativo que les correspondan, los Estados y el Distrito Federal serán apoyados con recursos económicos complementarios para ejercer las atribuciones, en materia de educación básica y normal,</w:t>
      </w:r>
      <w:r>
        <w:rPr>
          <w:spacing w:val="80"/>
        </w:rPr>
        <w:t> </w:t>
      </w:r>
      <w:r>
        <w:rPr/>
        <w:t>que de manera exclusiva se les asignan, respectivamente, en los artículos 13 y 16 de la Ley General de </w:t>
      </w:r>
      <w:r>
        <w:rPr>
          <w:spacing w:val="-2"/>
        </w:rPr>
        <w:t>Educación.</w:t>
      </w:r>
    </w:p>
    <w:p>
      <w:pPr>
        <w:pStyle w:val="BodyText"/>
        <w:spacing w:before="3"/>
      </w:pPr>
    </w:p>
    <w:p>
      <w:pPr>
        <w:pStyle w:val="BodyText"/>
        <w:ind w:left="1" w:right="137" w:firstLine="288"/>
        <w:jc w:val="both"/>
      </w:pPr>
      <w:r>
        <w:rPr/>
        <w:t>La Federación apoyará a los Estados con los recursos necesarios para cubrir el pago de servicios personales correspondiente al personal que ocupa las plazas transferidas a los Estados, en el marco del Acuerdo Nacional para la Modernización de la Educación Básica, publicado en el Diario Oficial de la Federación</w:t>
      </w:r>
      <w:r>
        <w:rPr>
          <w:spacing w:val="-1"/>
        </w:rPr>
        <w:t> </w:t>
      </w:r>
      <w:r>
        <w:rPr/>
        <w:t>el</w:t>
      </w:r>
      <w:r>
        <w:rPr>
          <w:spacing w:val="-1"/>
        </w:rPr>
        <w:t> </w:t>
      </w:r>
      <w:r>
        <w:rPr/>
        <w:t>19 de</w:t>
      </w:r>
      <w:r>
        <w:rPr>
          <w:spacing w:val="-1"/>
        </w:rPr>
        <w:t> </w:t>
      </w:r>
      <w:r>
        <w:rPr/>
        <w:t>mayo de</w:t>
      </w:r>
      <w:r>
        <w:rPr>
          <w:spacing w:val="-1"/>
        </w:rPr>
        <w:t> </w:t>
      </w:r>
      <w:r>
        <w:rPr/>
        <w:t>1992 y</w:t>
      </w:r>
      <w:r>
        <w:rPr>
          <w:spacing w:val="-3"/>
        </w:rPr>
        <w:t> </w:t>
      </w:r>
      <w:r>
        <w:rPr/>
        <w:t>los convenios que de</w:t>
      </w:r>
      <w:r>
        <w:rPr>
          <w:spacing w:val="-1"/>
        </w:rPr>
        <w:t> </w:t>
      </w:r>
      <w:r>
        <w:rPr/>
        <w:t>conformidad con</w:t>
      </w:r>
      <w:r>
        <w:rPr>
          <w:spacing w:val="-1"/>
        </w:rPr>
        <w:t> </w:t>
      </w:r>
      <w:r>
        <w:rPr/>
        <w:t>el</w:t>
      </w:r>
      <w:r>
        <w:rPr>
          <w:spacing w:val="-1"/>
        </w:rPr>
        <w:t> </w:t>
      </w:r>
      <w:r>
        <w:rPr/>
        <w:t>mismo</w:t>
      </w:r>
      <w:r>
        <w:rPr>
          <w:spacing w:val="-2"/>
        </w:rPr>
        <w:t> </w:t>
      </w:r>
      <w:r>
        <w:rPr/>
        <w:t>fueron</w:t>
      </w:r>
      <w:r>
        <w:rPr>
          <w:spacing w:val="-1"/>
        </w:rPr>
        <w:t> </w:t>
      </w:r>
      <w:r>
        <w:rPr/>
        <w:t>formalizados con los Estados, que se encuentren registradas por la Secretaría de Educación Pública, previa validación de la Secretaría de Hacienda y Crédito Público, en el Sistema de Información y Gestión Educativa a que se refiere el artículo 12, fracción X, de la Ley General de Educación. Asimismo, el registro en</w:t>
      </w:r>
      <w:r>
        <w:rPr>
          <w:spacing w:val="20"/>
        </w:rPr>
        <w:t> </w:t>
      </w:r>
      <w:r>
        <w:rPr/>
        <w:t>el Sistema</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pPr>
      <w:r>
        <w:rPr/>
        <w:t>podrá</w:t>
      </w:r>
      <w:r>
        <w:rPr>
          <w:spacing w:val="28"/>
        </w:rPr>
        <w:t> </w:t>
      </w:r>
      <w:r>
        <w:rPr/>
        <w:t>incluir</w:t>
      </w:r>
      <w:r>
        <w:rPr>
          <w:spacing w:val="28"/>
        </w:rPr>
        <w:t> </w:t>
      </w:r>
      <w:r>
        <w:rPr/>
        <w:t>plazas</w:t>
      </w:r>
      <w:r>
        <w:rPr>
          <w:spacing w:val="26"/>
        </w:rPr>
        <w:t> </w:t>
      </w:r>
      <w:r>
        <w:rPr/>
        <w:t>del</w:t>
      </w:r>
      <w:r>
        <w:rPr>
          <w:spacing w:val="26"/>
        </w:rPr>
        <w:t> </w:t>
      </w:r>
      <w:r>
        <w:rPr/>
        <w:t>personal</w:t>
      </w:r>
      <w:r>
        <w:rPr>
          <w:spacing w:val="26"/>
        </w:rPr>
        <w:t> </w:t>
      </w:r>
      <w:r>
        <w:rPr/>
        <w:t>docente</w:t>
      </w:r>
      <w:r>
        <w:rPr>
          <w:spacing w:val="27"/>
        </w:rPr>
        <w:t> </w:t>
      </w:r>
      <w:r>
        <w:rPr/>
        <w:t>que</w:t>
      </w:r>
      <w:r>
        <w:rPr>
          <w:spacing w:val="27"/>
        </w:rPr>
        <w:t> </w:t>
      </w:r>
      <w:r>
        <w:rPr/>
        <w:t>no</w:t>
      </w:r>
      <w:r>
        <w:rPr>
          <w:spacing w:val="25"/>
        </w:rPr>
        <w:t> </w:t>
      </w:r>
      <w:r>
        <w:rPr/>
        <w:t>es</w:t>
      </w:r>
      <w:r>
        <w:rPr>
          <w:spacing w:val="28"/>
        </w:rPr>
        <w:t> </w:t>
      </w:r>
      <w:r>
        <w:rPr/>
        <w:t>de</w:t>
      </w:r>
      <w:r>
        <w:rPr>
          <w:spacing w:val="25"/>
        </w:rPr>
        <w:t> </w:t>
      </w:r>
      <w:r>
        <w:rPr/>
        <w:t>jornada,</w:t>
      </w:r>
      <w:r>
        <w:rPr>
          <w:spacing w:val="27"/>
        </w:rPr>
        <w:t> </w:t>
      </w:r>
      <w:r>
        <w:rPr/>
        <w:t>de</w:t>
      </w:r>
      <w:r>
        <w:rPr>
          <w:spacing w:val="27"/>
        </w:rPr>
        <w:t> </w:t>
      </w:r>
      <w:r>
        <w:rPr/>
        <w:t>acuerdo</w:t>
      </w:r>
      <w:r>
        <w:rPr>
          <w:spacing w:val="27"/>
        </w:rPr>
        <w:t> </w:t>
      </w:r>
      <w:r>
        <w:rPr/>
        <w:t>a</w:t>
      </w:r>
      <w:r>
        <w:rPr>
          <w:spacing w:val="27"/>
        </w:rPr>
        <w:t> </w:t>
      </w:r>
      <w:r>
        <w:rPr/>
        <w:t>la</w:t>
      </w:r>
      <w:r>
        <w:rPr>
          <w:spacing w:val="27"/>
        </w:rPr>
        <w:t> </w:t>
      </w:r>
      <w:r>
        <w:rPr/>
        <w:t>asignación</w:t>
      </w:r>
      <w:r>
        <w:rPr>
          <w:spacing w:val="25"/>
        </w:rPr>
        <w:t> </w:t>
      </w:r>
      <w:r>
        <w:rPr/>
        <w:t>de</w:t>
      </w:r>
      <w:r>
        <w:rPr>
          <w:spacing w:val="27"/>
        </w:rPr>
        <w:t> </w:t>
      </w:r>
      <w:r>
        <w:rPr/>
        <w:t>horas </w:t>
      </w:r>
      <w:r>
        <w:rPr>
          <w:spacing w:val="-2"/>
        </w:rPr>
        <w:t>correspondiente.</w:t>
      </w:r>
    </w:p>
    <w:p>
      <w:pPr>
        <w:pStyle w:val="BodyText"/>
        <w:spacing w:before="229"/>
        <w:ind w:left="1" w:right="147" w:firstLine="288"/>
        <w:jc w:val="both"/>
      </w:pPr>
      <w:r>
        <w:rPr/>
        <w:t>En el caso</w:t>
      </w:r>
      <w:r>
        <w:rPr>
          <w:spacing w:val="-1"/>
        </w:rPr>
        <w:t> </w:t>
      </w:r>
      <w:r>
        <w:rPr/>
        <w:t>del Distrito</w:t>
      </w:r>
      <w:r>
        <w:rPr>
          <w:spacing w:val="-1"/>
        </w:rPr>
        <w:t> </w:t>
      </w:r>
      <w:r>
        <w:rPr/>
        <w:t>Federal, el Fondo de Aportaciones para</w:t>
      </w:r>
      <w:r>
        <w:rPr>
          <w:spacing w:val="-1"/>
        </w:rPr>
        <w:t> </w:t>
      </w:r>
      <w:r>
        <w:rPr/>
        <w:t>la</w:t>
      </w:r>
      <w:r>
        <w:rPr>
          <w:spacing w:val="-1"/>
        </w:rPr>
        <w:t> </w:t>
      </w:r>
      <w:r>
        <w:rPr/>
        <w:t>Nómina</w:t>
      </w:r>
      <w:r>
        <w:rPr>
          <w:spacing w:val="-2"/>
        </w:rPr>
        <w:t> </w:t>
      </w:r>
      <w:r>
        <w:rPr/>
        <w:t>Educativa y</w:t>
      </w:r>
      <w:r>
        <w:rPr>
          <w:spacing w:val="-4"/>
        </w:rPr>
        <w:t> </w:t>
      </w:r>
      <w:r>
        <w:rPr/>
        <w:t>Gasto Operativo incluirá los recursos correspondientes a las plazas federales que sean transferidas a éste, mediante el convenio de descentralización correspondiente y registradas en el Sistema a que se refiere el párrafo </w:t>
      </w:r>
      <w:r>
        <w:rPr>
          <w:spacing w:val="-2"/>
        </w:rPr>
        <w:t>anterior.</w:t>
      </w:r>
    </w:p>
    <w:p>
      <w:pPr>
        <w:pStyle w:val="BodyText"/>
      </w:pPr>
    </w:p>
    <w:p>
      <w:pPr>
        <w:pStyle w:val="BodyText"/>
        <w:ind w:left="1" w:right="142" w:firstLine="288"/>
        <w:jc w:val="both"/>
      </w:pPr>
      <w:r>
        <w:rPr/>
        <w:t>Asimismo, el Fondo incluirá recursos para apoyar a las entidades federativas a cubrir gastos de operación relacionados exclusivamente con las atribuciones a que se refiere el párrafo primero de este </w:t>
      </w:r>
      <w:r>
        <w:rPr>
          <w:spacing w:val="-2"/>
        </w:rPr>
        <w:t>artículo.</w:t>
      </w:r>
    </w:p>
    <w:p>
      <w:pPr>
        <w:spacing w:line="184" w:lineRule="exact" w:before="0"/>
        <w:ind w:left="502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5"/>
        <w:rPr>
          <w:rFonts w:ascii="Times New Roman"/>
          <w:i/>
          <w:sz w:val="16"/>
        </w:rPr>
      </w:pPr>
    </w:p>
    <w:p>
      <w:pPr>
        <w:pStyle w:val="BodyText"/>
        <w:spacing w:line="242" w:lineRule="auto"/>
        <w:ind w:left="1" w:firstLine="288"/>
      </w:pPr>
      <w:bookmarkStart w:name="Artículo_26_A" w:id="40"/>
      <w:bookmarkEnd w:id="40"/>
      <w:r>
        <w:rPr/>
      </w:r>
      <w:r>
        <w:rPr>
          <w:rFonts w:ascii="Arial" w:hAnsi="Arial"/>
          <w:b/>
        </w:rPr>
        <w:t>Artículo</w:t>
      </w:r>
      <w:r>
        <w:rPr>
          <w:rFonts w:ascii="Arial" w:hAnsi="Arial"/>
          <w:b/>
          <w:spacing w:val="30"/>
        </w:rPr>
        <w:t> </w:t>
      </w:r>
      <w:r>
        <w:rPr>
          <w:rFonts w:ascii="Arial" w:hAnsi="Arial"/>
          <w:b/>
        </w:rPr>
        <w:t>26-A.-</w:t>
      </w:r>
      <w:r>
        <w:rPr>
          <w:rFonts w:ascii="Arial" w:hAnsi="Arial"/>
          <w:b/>
          <w:spacing w:val="31"/>
        </w:rPr>
        <w:t> </w:t>
      </w:r>
      <w:r>
        <w:rPr/>
        <w:t>El</w:t>
      </w:r>
      <w:r>
        <w:rPr>
          <w:spacing w:val="27"/>
        </w:rPr>
        <w:t> </w:t>
      </w:r>
      <w:r>
        <w:rPr/>
        <w:t>ejercicio</w:t>
      </w:r>
      <w:r>
        <w:rPr>
          <w:spacing w:val="27"/>
        </w:rPr>
        <w:t> </w:t>
      </w:r>
      <w:r>
        <w:rPr/>
        <w:t>de</w:t>
      </w:r>
      <w:r>
        <w:rPr>
          <w:spacing w:val="30"/>
        </w:rPr>
        <w:t> </w:t>
      </w:r>
      <w:r>
        <w:rPr/>
        <w:t>los</w:t>
      </w:r>
      <w:r>
        <w:rPr>
          <w:spacing w:val="28"/>
        </w:rPr>
        <w:t> </w:t>
      </w:r>
      <w:r>
        <w:rPr/>
        <w:t>recursos</w:t>
      </w:r>
      <w:r>
        <w:rPr>
          <w:spacing w:val="31"/>
        </w:rPr>
        <w:t> </w:t>
      </w:r>
      <w:r>
        <w:rPr/>
        <w:t>en</w:t>
      </w:r>
      <w:r>
        <w:rPr>
          <w:spacing w:val="29"/>
        </w:rPr>
        <w:t> </w:t>
      </w:r>
      <w:r>
        <w:rPr/>
        <w:t>materia</w:t>
      </w:r>
      <w:r>
        <w:rPr>
          <w:spacing w:val="29"/>
        </w:rPr>
        <w:t> </w:t>
      </w:r>
      <w:r>
        <w:rPr/>
        <w:t>de</w:t>
      </w:r>
      <w:r>
        <w:rPr>
          <w:spacing w:val="29"/>
        </w:rPr>
        <w:t> </w:t>
      </w:r>
      <w:r>
        <w:rPr/>
        <w:t>servicios</w:t>
      </w:r>
      <w:r>
        <w:rPr>
          <w:spacing w:val="31"/>
        </w:rPr>
        <w:t> </w:t>
      </w:r>
      <w:r>
        <w:rPr/>
        <w:t>personales</w:t>
      </w:r>
      <w:r>
        <w:rPr>
          <w:spacing w:val="28"/>
        </w:rPr>
        <w:t> </w:t>
      </w:r>
      <w:r>
        <w:rPr/>
        <w:t>a</w:t>
      </w:r>
      <w:r>
        <w:rPr>
          <w:spacing w:val="30"/>
        </w:rPr>
        <w:t> </w:t>
      </w:r>
      <w:r>
        <w:rPr/>
        <w:t>que</w:t>
      </w:r>
      <w:r>
        <w:rPr>
          <w:spacing w:val="27"/>
        </w:rPr>
        <w:t> </w:t>
      </w:r>
      <w:r>
        <w:rPr/>
        <w:t>se</w:t>
      </w:r>
      <w:r>
        <w:rPr>
          <w:spacing w:val="29"/>
        </w:rPr>
        <w:t> </w:t>
      </w:r>
      <w:r>
        <w:rPr/>
        <w:t>refiere</w:t>
      </w:r>
      <w:r>
        <w:rPr>
          <w:spacing w:val="30"/>
        </w:rPr>
        <w:t> </w:t>
      </w:r>
      <w:r>
        <w:rPr/>
        <w:t>el artículo anterior, se sujetará a lo siguiente:</w:t>
      </w:r>
    </w:p>
    <w:p>
      <w:pPr>
        <w:pStyle w:val="ListParagraph"/>
        <w:numPr>
          <w:ilvl w:val="0"/>
          <w:numId w:val="8"/>
        </w:numPr>
        <w:tabs>
          <w:tab w:pos="1009" w:val="left" w:leader="none"/>
        </w:tabs>
        <w:spacing w:line="240" w:lineRule="auto" w:before="226" w:after="0"/>
        <w:ind w:left="1009" w:right="142" w:hanging="720"/>
        <w:jc w:val="both"/>
        <w:rPr>
          <w:sz w:val="20"/>
        </w:rPr>
      </w:pPr>
      <w:r>
        <w:rPr>
          <w:sz w:val="20"/>
        </w:rPr>
        <w:t>La Secretaría de Educación Pública establecerá un sistema de administración de nómina, a través del cual se realizarán los pagos de servicios personales a que se refiere el artículo anterior. Para tal efecto, las secretarías de Hacienda y Crédito Público y de Educación</w:t>
      </w:r>
      <w:r>
        <w:rPr>
          <w:spacing w:val="40"/>
          <w:sz w:val="20"/>
        </w:rPr>
        <w:t> </w:t>
      </w:r>
      <w:r>
        <w:rPr>
          <w:sz w:val="20"/>
        </w:rPr>
        <w:t>Pública, emitirán las disposiciones que deberán observar las entidades federativas para registrar cada nómina. El sistema de administración de nómina deberá identificar al menos el nivel,</w:t>
      </w:r>
      <w:r>
        <w:rPr>
          <w:spacing w:val="-3"/>
          <w:sz w:val="20"/>
        </w:rPr>
        <w:t> </w:t>
      </w:r>
      <w:r>
        <w:rPr>
          <w:sz w:val="20"/>
        </w:rPr>
        <w:t>tipo y</w:t>
      </w:r>
      <w:r>
        <w:rPr>
          <w:spacing w:val="-6"/>
          <w:sz w:val="20"/>
        </w:rPr>
        <w:t> </w:t>
      </w:r>
      <w:r>
        <w:rPr>
          <w:sz w:val="20"/>
        </w:rPr>
        <w:t>modalidad</w:t>
      </w:r>
      <w:r>
        <w:rPr>
          <w:spacing w:val="-3"/>
          <w:sz w:val="20"/>
        </w:rPr>
        <w:t> </w:t>
      </w:r>
      <w:r>
        <w:rPr>
          <w:sz w:val="20"/>
        </w:rPr>
        <w:t>educativa y</w:t>
      </w:r>
      <w:r>
        <w:rPr>
          <w:spacing w:val="-6"/>
          <w:sz w:val="20"/>
        </w:rPr>
        <w:t> </w:t>
      </w:r>
      <w:r>
        <w:rPr>
          <w:sz w:val="20"/>
        </w:rPr>
        <w:t>la</w:t>
      </w:r>
      <w:r>
        <w:rPr>
          <w:spacing w:val="-3"/>
          <w:sz w:val="20"/>
        </w:rPr>
        <w:t> </w:t>
      </w:r>
      <w:r>
        <w:rPr>
          <w:sz w:val="20"/>
        </w:rPr>
        <w:t>clave</w:t>
      </w:r>
      <w:r>
        <w:rPr>
          <w:spacing w:val="-1"/>
          <w:sz w:val="20"/>
        </w:rPr>
        <w:t> </w:t>
      </w:r>
      <w:r>
        <w:rPr>
          <w:sz w:val="20"/>
        </w:rPr>
        <w:t>del</w:t>
      </w:r>
      <w:r>
        <w:rPr>
          <w:spacing w:val="-4"/>
          <w:sz w:val="20"/>
        </w:rPr>
        <w:t> </w:t>
      </w:r>
      <w:r>
        <w:rPr>
          <w:sz w:val="20"/>
        </w:rPr>
        <w:t>centro de</w:t>
      </w:r>
      <w:r>
        <w:rPr>
          <w:spacing w:val="-4"/>
          <w:sz w:val="20"/>
        </w:rPr>
        <w:t> </w:t>
      </w:r>
      <w:r>
        <w:rPr>
          <w:sz w:val="20"/>
        </w:rPr>
        <w:t>trabajo</w:t>
      </w:r>
      <w:r>
        <w:rPr>
          <w:spacing w:val="-3"/>
          <w:sz w:val="20"/>
        </w:rPr>
        <w:t> </w:t>
      </w:r>
      <w:r>
        <w:rPr>
          <w:sz w:val="20"/>
        </w:rPr>
        <w:t>a</w:t>
      </w:r>
      <w:r>
        <w:rPr>
          <w:spacing w:val="-2"/>
          <w:sz w:val="20"/>
        </w:rPr>
        <w:t> </w:t>
      </w:r>
      <w:r>
        <w:rPr>
          <w:sz w:val="20"/>
        </w:rPr>
        <w:t>la</w:t>
      </w:r>
      <w:r>
        <w:rPr>
          <w:spacing w:val="-1"/>
          <w:sz w:val="20"/>
        </w:rPr>
        <w:t> </w:t>
      </w:r>
      <w:r>
        <w:rPr>
          <w:sz w:val="20"/>
        </w:rPr>
        <w:t>que</w:t>
      </w:r>
      <w:r>
        <w:rPr>
          <w:spacing w:val="-1"/>
          <w:sz w:val="20"/>
        </w:rPr>
        <w:t> </w:t>
      </w:r>
      <w:r>
        <w:rPr>
          <w:sz w:val="20"/>
        </w:rPr>
        <w:t>corresponda</w:t>
      </w:r>
      <w:r>
        <w:rPr>
          <w:spacing w:val="-1"/>
          <w:sz w:val="20"/>
        </w:rPr>
        <w:t> </w:t>
      </w:r>
      <w:r>
        <w:rPr>
          <w:sz w:val="20"/>
        </w:rPr>
        <w:t>la</w:t>
      </w:r>
      <w:r>
        <w:rPr>
          <w:spacing w:val="-1"/>
          <w:sz w:val="20"/>
        </w:rPr>
        <w:t> </w:t>
      </w:r>
      <w:r>
        <w:rPr>
          <w:sz w:val="20"/>
        </w:rPr>
        <w:t>plaza.</w:t>
      </w:r>
    </w:p>
    <w:p>
      <w:pPr>
        <w:pStyle w:val="BodyText"/>
        <w:spacing w:before="3"/>
      </w:pPr>
    </w:p>
    <w:p>
      <w:pPr>
        <w:pStyle w:val="BodyText"/>
        <w:ind w:left="1009" w:right="149"/>
        <w:jc w:val="both"/>
      </w:pPr>
      <w:r>
        <w:rPr/>
        <w:t>Las autoridades educativas de las entidades federativas deberán proporcionar a la Secretaría de Educación Pública toda la información que ésta les requiera en términos de este artículo;</w:t>
      </w:r>
    </w:p>
    <w:p>
      <w:pPr>
        <w:pStyle w:val="ListParagraph"/>
        <w:numPr>
          <w:ilvl w:val="0"/>
          <w:numId w:val="8"/>
        </w:numPr>
        <w:tabs>
          <w:tab w:pos="1006" w:val="left" w:leader="none"/>
          <w:tab w:pos="1009" w:val="left" w:leader="none"/>
        </w:tabs>
        <w:spacing w:line="242" w:lineRule="auto" w:before="227" w:after="0"/>
        <w:ind w:left="1009" w:right="137" w:hanging="720"/>
        <w:jc w:val="both"/>
        <w:rPr>
          <w:sz w:val="20"/>
        </w:rPr>
      </w:pPr>
      <w:r>
        <w:rPr>
          <w:sz w:val="20"/>
        </w:rPr>
        <w:t>Las autoridades educativas de las entidades federativas deberán, en los plazos y condiciones establecidos en las disposiciones a que se refiere la fracción anterior, registrar en el sistema de administración de nómina la información relativa a los movimientos del personal que modifiquen cada nómina.</w:t>
      </w:r>
    </w:p>
    <w:p>
      <w:pPr>
        <w:pStyle w:val="BodyText"/>
        <w:spacing w:before="223"/>
        <w:ind w:left="1009" w:right="142"/>
        <w:jc w:val="both"/>
      </w:pPr>
      <w:r>
        <w:rPr/>
        <w:t>La información que las autoridades educativas de las entidades federativas registren en el sistema de administración de nómina, deberá corresponder a aquélla registrada en el Sistema de Información y Gestión Educativa a que se refiere el artículo 12, fracción X, de la Ley General de Educación;</w:t>
      </w:r>
    </w:p>
    <w:p>
      <w:pPr>
        <w:pStyle w:val="ListParagraph"/>
        <w:numPr>
          <w:ilvl w:val="0"/>
          <w:numId w:val="8"/>
        </w:numPr>
        <w:tabs>
          <w:tab w:pos="1005" w:val="left" w:leader="none"/>
          <w:tab w:pos="1009" w:val="left" w:leader="none"/>
        </w:tabs>
        <w:spacing w:line="242" w:lineRule="auto" w:before="227" w:after="0"/>
        <w:ind w:left="1009" w:right="150" w:hanging="720"/>
        <w:jc w:val="both"/>
        <w:rPr>
          <w:sz w:val="20"/>
        </w:rPr>
      </w:pPr>
      <w:r>
        <w:rPr>
          <w:sz w:val="20"/>
        </w:rPr>
        <w:t>Con base en la información registrada en el sistema de administración de nómina, la Secretaría de Educación Pública verificará que ésta corresponda con la contenida en el Sistema de Información y Gestión Educativa y solicitará a las autoridades educativas de las entidades federativas, la validación de la nómina correspondiente a cada una de ellas.</w:t>
      </w:r>
    </w:p>
    <w:p>
      <w:pPr>
        <w:pStyle w:val="BodyText"/>
        <w:spacing w:before="226"/>
        <w:ind w:left="1009" w:right="143"/>
        <w:jc w:val="both"/>
      </w:pPr>
      <w:r>
        <w:rPr/>
        <w:t>Una vez validada la información por las autoridades educativas de las entidades federativas,</w:t>
      </w:r>
      <w:r>
        <w:rPr>
          <w:spacing w:val="40"/>
        </w:rPr>
        <w:t> </w:t>
      </w:r>
      <w:r>
        <w:rPr/>
        <w:t>la Secretaría de Educación Pública solicitará a la Tesorería de la Federación, realizar el pago correspondiente, con cargo a los recursos que correspondan del Fondo a cada entidad </w:t>
      </w:r>
      <w:r>
        <w:rPr>
          <w:spacing w:val="-2"/>
        </w:rPr>
        <w:t>federativa;</w:t>
      </w:r>
    </w:p>
    <w:p>
      <w:pPr>
        <w:pStyle w:val="ListParagraph"/>
        <w:numPr>
          <w:ilvl w:val="0"/>
          <w:numId w:val="8"/>
        </w:numPr>
        <w:tabs>
          <w:tab w:pos="1009" w:val="left" w:leader="none"/>
        </w:tabs>
        <w:spacing w:line="240" w:lineRule="auto" w:before="227" w:after="0"/>
        <w:ind w:left="1009" w:right="148" w:hanging="720"/>
        <w:jc w:val="both"/>
        <w:rPr>
          <w:sz w:val="20"/>
        </w:rPr>
      </w:pPr>
      <w:r>
        <w:rPr>
          <w:sz w:val="20"/>
        </w:rPr>
        <w:t>Los recursos correspondientes a la nómina a</w:t>
      </w:r>
      <w:r>
        <w:rPr>
          <w:spacing w:val="-1"/>
          <w:sz w:val="20"/>
        </w:rPr>
        <w:t> </w:t>
      </w:r>
      <w:r>
        <w:rPr>
          <w:sz w:val="20"/>
        </w:rPr>
        <w:t>que</w:t>
      </w:r>
      <w:r>
        <w:rPr>
          <w:spacing w:val="-2"/>
          <w:sz w:val="20"/>
        </w:rPr>
        <w:t> </w:t>
      </w:r>
      <w:r>
        <w:rPr>
          <w:sz w:val="20"/>
        </w:rPr>
        <w:t>se</w:t>
      </w:r>
      <w:r>
        <w:rPr>
          <w:spacing w:val="-1"/>
          <w:sz w:val="20"/>
        </w:rPr>
        <w:t> </w:t>
      </w:r>
      <w:r>
        <w:rPr>
          <w:sz w:val="20"/>
        </w:rPr>
        <w:t>refiere</w:t>
      </w:r>
      <w:r>
        <w:rPr>
          <w:spacing w:val="-1"/>
          <w:sz w:val="20"/>
        </w:rPr>
        <w:t> </w:t>
      </w:r>
      <w:r>
        <w:rPr>
          <w:sz w:val="20"/>
        </w:rPr>
        <w:t>el</w:t>
      </w:r>
      <w:r>
        <w:rPr>
          <w:spacing w:val="-2"/>
          <w:sz w:val="20"/>
        </w:rPr>
        <w:t> </w:t>
      </w:r>
      <w:r>
        <w:rPr>
          <w:sz w:val="20"/>
        </w:rPr>
        <w:t>artículo anterior serán</w:t>
      </w:r>
      <w:r>
        <w:rPr>
          <w:spacing w:val="-2"/>
          <w:sz w:val="20"/>
        </w:rPr>
        <w:t> </w:t>
      </w:r>
      <w:r>
        <w:rPr>
          <w:sz w:val="20"/>
        </w:rPr>
        <w:t>pagados, por cuenta y orden de las entidades federativas en su calidad de patrones, a sus empleados del servicio educativo, a través de transferencias electrónicas a respectivas cuentas</w:t>
      </w:r>
      <w:r>
        <w:rPr>
          <w:spacing w:val="40"/>
          <w:sz w:val="20"/>
        </w:rPr>
        <w:t> </w:t>
      </w:r>
      <w:r>
        <w:rPr>
          <w:sz w:val="20"/>
        </w:rPr>
        <w:t>bancarias, salvo que los mismos se encuentren en localidades en donde no haya disponibilidad de servicios bancarios; en este último caso la Secretaría de Hacienda y Crédito Público determinará la forma y los medios a través de los cuales se entregarán los recursos </w:t>
      </w:r>
      <w:r>
        <w:rPr>
          <w:spacing w:val="-2"/>
          <w:sz w:val="20"/>
        </w:rPr>
        <w:t>correspondientes.</w:t>
      </w:r>
    </w:p>
    <w:p>
      <w:pPr>
        <w:pStyle w:val="ListParagraph"/>
        <w:spacing w:after="0" w:line="240" w:lineRule="auto"/>
        <w:jc w:val="both"/>
        <w:rPr>
          <w:sz w:val="20"/>
        </w:rPr>
        <w:sectPr>
          <w:pgSz w:w="12250" w:h="15850"/>
          <w:pgMar w:header="724" w:footer="712" w:top="1880" w:bottom="900" w:left="1417" w:right="1275"/>
        </w:sectPr>
      </w:pPr>
    </w:p>
    <w:p>
      <w:pPr>
        <w:pStyle w:val="BodyText"/>
      </w:pPr>
    </w:p>
    <w:p>
      <w:pPr>
        <w:pStyle w:val="BodyText"/>
        <w:spacing w:before="68"/>
      </w:pPr>
    </w:p>
    <w:p>
      <w:pPr>
        <w:pStyle w:val="BodyText"/>
        <w:ind w:left="1009" w:right="142"/>
        <w:jc w:val="both"/>
      </w:pPr>
      <w:r>
        <w:rPr/>
        <w:t>La Secretaría de Educación Pública se coordinará con las entidades federativas para que los pagos de nómina se realicen solamente al personal que cuente con Registro Federal de Contribuyentes con Homoclave, de acuerdo con las disposiciones aplicables;</w:t>
      </w:r>
    </w:p>
    <w:p>
      <w:pPr>
        <w:pStyle w:val="ListParagraph"/>
        <w:numPr>
          <w:ilvl w:val="0"/>
          <w:numId w:val="8"/>
        </w:numPr>
        <w:tabs>
          <w:tab w:pos="1007" w:val="left" w:leader="none"/>
          <w:tab w:pos="1009" w:val="left" w:leader="none"/>
        </w:tabs>
        <w:spacing w:line="242" w:lineRule="auto" w:before="227" w:after="0"/>
        <w:ind w:left="1009" w:right="153" w:hanging="720"/>
        <w:jc w:val="both"/>
        <w:rPr>
          <w:sz w:val="20"/>
        </w:rPr>
      </w:pPr>
      <w:r>
        <w:rPr>
          <w:sz w:val="20"/>
        </w:rPr>
        <w:t>Los pagos deberán hacerse por las cantidades líquidas que correspondan a cada empleado, considerando las cantidades devengadas en el periodo de pago correspondiente.</w:t>
      </w:r>
    </w:p>
    <w:p>
      <w:pPr>
        <w:pStyle w:val="BodyText"/>
        <w:spacing w:before="226"/>
        <w:ind w:left="1009" w:right="141"/>
        <w:jc w:val="both"/>
      </w:pPr>
      <w:r>
        <w:rPr/>
        <w:t>En todo caso, sólo procederán pagos retroactivos hasta por cuarenta y cinco días naturales, siempre y cuando se acredite la asistencia del personal durante dicho periodo en la plaza respectiva, debiendo precisar la autoridad educativa de la entidad federativa el tipo de plaza y el periodo que comprende.</w:t>
      </w:r>
    </w:p>
    <w:p>
      <w:pPr>
        <w:pStyle w:val="BodyText"/>
        <w:spacing w:before="3"/>
      </w:pPr>
    </w:p>
    <w:p>
      <w:pPr>
        <w:pStyle w:val="BodyText"/>
        <w:ind w:left="1009" w:right="151"/>
        <w:jc w:val="both"/>
      </w:pPr>
      <w:r>
        <w:rPr/>
        <w:t>En los casos en que por causa no imputable al personal no se realice el pago, a solicitud del interesado y conforme al procedimiento establecido en su caso, los pagos no realizados deberán efectuarse en un plazo no mayor a 30 días;</w:t>
      </w:r>
    </w:p>
    <w:p>
      <w:pPr>
        <w:pStyle w:val="ListParagraph"/>
        <w:numPr>
          <w:ilvl w:val="0"/>
          <w:numId w:val="8"/>
        </w:numPr>
        <w:tabs>
          <w:tab w:pos="1009" w:val="left" w:leader="none"/>
        </w:tabs>
        <w:spacing w:line="240" w:lineRule="auto" w:before="227" w:after="0"/>
        <w:ind w:left="1009" w:right="145" w:hanging="720"/>
        <w:jc w:val="both"/>
        <w:rPr>
          <w:sz w:val="20"/>
        </w:rPr>
      </w:pPr>
      <w:r>
        <w:rPr>
          <w:sz w:val="20"/>
        </w:rPr>
        <w:t>La Secretaría de Educación Pública retendrá y enterará las cantidades que por ley deban pagarse por concepto de impuestos y seguridad social, de conformidad con la normatividad aplicable; así como, otras cantidades que, en su caso, deban retenerse con base en la instrucción correspondiente de la autoridad educativa de la entidad federativa;</w:t>
      </w:r>
    </w:p>
    <w:p>
      <w:pPr>
        <w:pStyle w:val="ListParagraph"/>
        <w:numPr>
          <w:ilvl w:val="0"/>
          <w:numId w:val="8"/>
        </w:numPr>
        <w:tabs>
          <w:tab w:pos="1009" w:val="left" w:leader="none"/>
        </w:tabs>
        <w:spacing w:line="240" w:lineRule="auto" w:before="230" w:after="0"/>
        <w:ind w:left="1009" w:right="147" w:hanging="720"/>
        <w:jc w:val="both"/>
        <w:rPr>
          <w:sz w:val="20"/>
        </w:rPr>
      </w:pPr>
      <w:r>
        <w:rPr>
          <w:sz w:val="20"/>
        </w:rPr>
        <w:t>Para efectos de la comprobación de las erogaciones, los registros en medios electrónicos correspondientes a los abonos en las cuentas del personal, fungirán como comprobantes de</w:t>
      </w:r>
      <w:r>
        <w:rPr>
          <w:spacing w:val="40"/>
          <w:sz w:val="20"/>
        </w:rPr>
        <w:t> </w:t>
      </w:r>
      <w:r>
        <w:rPr>
          <w:sz w:val="20"/>
        </w:rPr>
        <w:t>la entrega de los recursos. Tratándose de los pagos que, por no existir servicios bancarios en la localidad correspondiente, se realicen a través de otros mecanismos, la comprobación de las erogaciones se realizará en términos de la Ley</w:t>
      </w:r>
      <w:r>
        <w:rPr>
          <w:spacing w:val="-2"/>
          <w:sz w:val="20"/>
        </w:rPr>
        <w:t> </w:t>
      </w:r>
      <w:r>
        <w:rPr>
          <w:sz w:val="20"/>
        </w:rPr>
        <w:t>Federal de Presupuesto y</w:t>
      </w:r>
      <w:r>
        <w:rPr>
          <w:spacing w:val="-2"/>
          <w:sz w:val="20"/>
        </w:rPr>
        <w:t> </w:t>
      </w:r>
      <w:r>
        <w:rPr>
          <w:sz w:val="20"/>
        </w:rPr>
        <w:t>Responsabilidad Hacendaria y demás disposiciones aplicables.</w:t>
      </w:r>
    </w:p>
    <w:p>
      <w:pPr>
        <w:pStyle w:val="BodyText"/>
        <w:spacing w:before="3"/>
      </w:pPr>
    </w:p>
    <w:p>
      <w:pPr>
        <w:pStyle w:val="BodyText"/>
        <w:ind w:left="1009" w:right="145"/>
        <w:jc w:val="both"/>
      </w:pPr>
      <w:r>
        <w:rPr/>
        <w:t>Sin perjuicio de lo anterior, las</w:t>
      </w:r>
      <w:r>
        <w:rPr>
          <w:spacing w:val="-1"/>
        </w:rPr>
        <w:t> </w:t>
      </w:r>
      <w:r>
        <w:rPr/>
        <w:t>autoridades</w:t>
      </w:r>
      <w:r>
        <w:rPr>
          <w:spacing w:val="-1"/>
        </w:rPr>
        <w:t> </w:t>
      </w:r>
      <w:r>
        <w:rPr/>
        <w:t>educativas de las</w:t>
      </w:r>
      <w:r>
        <w:rPr>
          <w:spacing w:val="-1"/>
        </w:rPr>
        <w:t> </w:t>
      </w:r>
      <w:r>
        <w:rPr/>
        <w:t>entidades</w:t>
      </w:r>
      <w:r>
        <w:rPr>
          <w:spacing w:val="-1"/>
        </w:rPr>
        <w:t> </w:t>
      </w:r>
      <w:r>
        <w:rPr/>
        <w:t>federativas</w:t>
      </w:r>
      <w:r>
        <w:rPr>
          <w:spacing w:val="-1"/>
        </w:rPr>
        <w:t> </w:t>
      </w:r>
      <w:r>
        <w:rPr/>
        <w:t>entregarán a</w:t>
      </w:r>
      <w:r>
        <w:rPr>
          <w:spacing w:val="-2"/>
        </w:rPr>
        <w:t> </w:t>
      </w:r>
      <w:r>
        <w:rPr/>
        <w:t>cada</w:t>
      </w:r>
      <w:r>
        <w:rPr>
          <w:spacing w:val="-2"/>
        </w:rPr>
        <w:t> </w:t>
      </w:r>
      <w:r>
        <w:rPr/>
        <w:t>uno</w:t>
      </w:r>
      <w:r>
        <w:rPr>
          <w:spacing w:val="-3"/>
        </w:rPr>
        <w:t> </w:t>
      </w:r>
      <w:r>
        <w:rPr/>
        <w:t>de</w:t>
      </w:r>
      <w:r>
        <w:rPr>
          <w:spacing w:val="-2"/>
        </w:rPr>
        <w:t> </w:t>
      </w:r>
      <w:r>
        <w:rPr/>
        <w:t>sus</w:t>
      </w:r>
      <w:r>
        <w:rPr>
          <w:spacing w:val="-1"/>
        </w:rPr>
        <w:t> </w:t>
      </w:r>
      <w:r>
        <w:rPr/>
        <w:t>trabajadores el</w:t>
      </w:r>
      <w:r>
        <w:rPr>
          <w:spacing w:val="-3"/>
        </w:rPr>
        <w:t> </w:t>
      </w:r>
      <w:r>
        <w:rPr/>
        <w:t>recibo de nómina</w:t>
      </w:r>
      <w:r>
        <w:rPr>
          <w:spacing w:val="-3"/>
        </w:rPr>
        <w:t> </w:t>
      </w:r>
      <w:r>
        <w:rPr/>
        <w:t>respectivo,</w:t>
      </w:r>
      <w:r>
        <w:rPr>
          <w:spacing w:val="-2"/>
        </w:rPr>
        <w:t> </w:t>
      </w:r>
      <w:r>
        <w:rPr/>
        <w:t>desglosando los</w:t>
      </w:r>
      <w:r>
        <w:rPr>
          <w:spacing w:val="-1"/>
        </w:rPr>
        <w:t> </w:t>
      </w:r>
      <w:r>
        <w:rPr/>
        <w:t>conceptos</w:t>
      </w:r>
      <w:r>
        <w:rPr>
          <w:spacing w:val="-1"/>
        </w:rPr>
        <w:t> </w:t>
      </w:r>
      <w:r>
        <w:rPr/>
        <w:t>de pago y descuentos correspondientes;</w:t>
      </w:r>
    </w:p>
    <w:p>
      <w:pPr>
        <w:pStyle w:val="ListParagraph"/>
        <w:numPr>
          <w:ilvl w:val="0"/>
          <w:numId w:val="8"/>
        </w:numPr>
        <w:tabs>
          <w:tab w:pos="1009" w:val="left" w:leader="none"/>
        </w:tabs>
        <w:spacing w:line="242" w:lineRule="auto" w:before="227" w:after="0"/>
        <w:ind w:left="1009" w:right="147" w:hanging="720"/>
        <w:jc w:val="both"/>
        <w:rPr>
          <w:sz w:val="20"/>
        </w:rPr>
      </w:pPr>
      <w:r>
        <w:rPr>
          <w:sz w:val="20"/>
        </w:rPr>
        <w:t>Las entidades federativas realizarán los registros e informarán sobre las aportaciones federales a que se refiere este artículo, en los términos de los artículos 48 y 49 de esta Ley, y</w:t>
      </w:r>
    </w:p>
    <w:p>
      <w:pPr>
        <w:pStyle w:val="ListParagraph"/>
        <w:numPr>
          <w:ilvl w:val="0"/>
          <w:numId w:val="8"/>
        </w:numPr>
        <w:tabs>
          <w:tab w:pos="1009" w:val="left" w:leader="none"/>
        </w:tabs>
        <w:spacing w:line="240" w:lineRule="auto" w:before="226" w:after="0"/>
        <w:ind w:left="1009" w:right="150" w:hanging="720"/>
        <w:jc w:val="both"/>
        <w:rPr>
          <w:sz w:val="20"/>
        </w:rPr>
      </w:pPr>
      <w:r>
        <w:rPr>
          <w:sz w:val="20"/>
        </w:rPr>
        <w:t>La Secretaría de Educación Pública presentará a través de Internet la información a que se refiere el artículo 73 de la Ley General de Contabilidad Gubernamental, respecto al Fondo a que se refiere este artículo.</w:t>
      </w:r>
    </w:p>
    <w:p>
      <w:pPr>
        <w:pStyle w:val="BodyText"/>
        <w:spacing w:before="3"/>
      </w:pPr>
    </w:p>
    <w:p>
      <w:pPr>
        <w:pStyle w:val="BodyText"/>
        <w:ind w:left="1" w:right="146" w:firstLine="288"/>
        <w:jc w:val="both"/>
      </w:pPr>
      <w:r>
        <w:rPr/>
        <w:t>Los recursos a que se refieren las fracciones anteriores sólo podrán erogarse en el ejercicio fiscal en que fueron presupuestados, exclusivamente para el pago de los conceptos relativos a servicios personales del personal a que se refiere el artículo anterior, incluyendo el incremento en remuneraciones que, en su caso, se acuerde en los términos del artículo 27-A de esta Ley.</w:t>
      </w:r>
    </w:p>
    <w:p>
      <w:pPr>
        <w:pStyle w:val="BodyText"/>
        <w:spacing w:before="229"/>
        <w:ind w:left="1" w:right="148" w:firstLine="288"/>
        <w:jc w:val="both"/>
      </w:pPr>
      <w:r>
        <w:rPr/>
        <w:t>Tratándose del gasto de operación a que se refiere el último párrafo del artículo 26 de esta Ley, los recursos podrán utilizarse en los fines a que se refiere el párrafo anterior. Para tal efecto, las Secretarías de Hacienda y Crédito Público y de Educación Pública emitirán los lineamientos para especificar el destino de estos recursos.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09-12-</w:t>
      </w:r>
      <w:r>
        <w:rPr>
          <w:rFonts w:ascii="Times New Roman" w:hAnsi="Times New Roman"/>
          <w:i/>
          <w:color w:val="0000FF"/>
          <w:spacing w:val="-4"/>
          <w:sz w:val="16"/>
        </w:rPr>
        <w:t>2013</w:t>
      </w:r>
    </w:p>
    <w:p>
      <w:pPr>
        <w:spacing w:after="0" w:line="181" w:lineRule="exact"/>
        <w:jc w:val="right"/>
        <w:rPr>
          <w:rFonts w:ascii="Times New Roman" w:hAnsi="Times New Roman"/>
          <w:i/>
          <w:sz w:val="16"/>
        </w:rPr>
        <w:sectPr>
          <w:pgSz w:w="12250" w:h="15850"/>
          <w:pgMar w:header="724" w:footer="712" w:top="1880" w:bottom="900" w:left="1417" w:right="1275"/>
        </w:sectPr>
      </w:pPr>
    </w:p>
    <w:p>
      <w:pPr>
        <w:pStyle w:val="BodyText"/>
        <w:spacing w:before="65"/>
        <w:rPr>
          <w:rFonts w:ascii="Times New Roman"/>
          <w:i/>
        </w:rPr>
      </w:pPr>
    </w:p>
    <w:p>
      <w:pPr>
        <w:pStyle w:val="BodyText"/>
        <w:spacing w:line="242" w:lineRule="auto"/>
        <w:ind w:left="1" w:right="146" w:firstLine="288"/>
        <w:jc w:val="both"/>
      </w:pPr>
      <w:bookmarkStart w:name="Artículo_27" w:id="41"/>
      <w:bookmarkEnd w:id="41"/>
      <w:r>
        <w:rPr/>
      </w:r>
      <w:r>
        <w:rPr>
          <w:rFonts w:ascii="Arial" w:hAnsi="Arial"/>
          <w:b/>
        </w:rPr>
        <w:t>Artículo 27.- </w:t>
      </w:r>
      <w:r>
        <w:rPr/>
        <w:t>El monto del Fondo de Aportaciones para la Nómina Educativa y Gasto Operativo se determinará</w:t>
      </w:r>
      <w:r>
        <w:rPr>
          <w:spacing w:val="-1"/>
        </w:rPr>
        <w:t> </w:t>
      </w:r>
      <w:r>
        <w:rPr/>
        <w:t>cada</w:t>
      </w:r>
      <w:r>
        <w:rPr>
          <w:spacing w:val="-1"/>
        </w:rPr>
        <w:t> </w:t>
      </w:r>
      <w:r>
        <w:rPr/>
        <w:t>año en</w:t>
      </w:r>
      <w:r>
        <w:rPr>
          <w:spacing w:val="-2"/>
        </w:rPr>
        <w:t> </w:t>
      </w:r>
      <w:r>
        <w:rPr/>
        <w:t>el Presupuesto de Egresos de</w:t>
      </w:r>
      <w:r>
        <w:rPr>
          <w:spacing w:val="-1"/>
        </w:rPr>
        <w:t> </w:t>
      </w:r>
      <w:r>
        <w:rPr/>
        <w:t>la Federación</w:t>
      </w:r>
      <w:r>
        <w:rPr>
          <w:spacing w:val="-1"/>
        </w:rPr>
        <w:t> </w:t>
      </w:r>
      <w:r>
        <w:rPr/>
        <w:t>correspondiente,</w:t>
      </w:r>
      <w:r>
        <w:rPr>
          <w:spacing w:val="-1"/>
        </w:rPr>
        <w:t> </w:t>
      </w:r>
      <w:r>
        <w:rPr/>
        <w:t>exclusivamente</w:t>
      </w:r>
      <w:r>
        <w:rPr>
          <w:spacing w:val="-1"/>
        </w:rPr>
        <w:t> </w:t>
      </w:r>
      <w:r>
        <w:rPr/>
        <w:t>a partir de los siguientes elementos:</w:t>
      </w:r>
    </w:p>
    <w:p>
      <w:pPr>
        <w:pStyle w:val="ListParagraph"/>
        <w:numPr>
          <w:ilvl w:val="0"/>
          <w:numId w:val="9"/>
        </w:numPr>
        <w:tabs>
          <w:tab w:pos="1009" w:val="left" w:leader="none"/>
        </w:tabs>
        <w:spacing w:line="242" w:lineRule="auto" w:before="222" w:after="0"/>
        <w:ind w:left="1009" w:right="143" w:hanging="720"/>
        <w:jc w:val="both"/>
        <w:rPr>
          <w:sz w:val="20"/>
        </w:rPr>
      </w:pPr>
      <w:r>
        <w:rPr>
          <w:sz w:val="20"/>
        </w:rPr>
        <w:t>Las</w:t>
      </w:r>
      <w:r>
        <w:rPr>
          <w:spacing w:val="-2"/>
          <w:sz w:val="20"/>
        </w:rPr>
        <w:t> </w:t>
      </w:r>
      <w:r>
        <w:rPr>
          <w:sz w:val="20"/>
        </w:rPr>
        <w:t>plazas</w:t>
      </w:r>
      <w:r>
        <w:rPr>
          <w:spacing w:val="-2"/>
          <w:sz w:val="20"/>
        </w:rPr>
        <w:t> </w:t>
      </w:r>
      <w:r>
        <w:rPr>
          <w:sz w:val="20"/>
        </w:rPr>
        <w:t>registradas en</w:t>
      </w:r>
      <w:r>
        <w:rPr>
          <w:spacing w:val="-4"/>
          <w:sz w:val="20"/>
        </w:rPr>
        <w:t> </w:t>
      </w:r>
      <w:r>
        <w:rPr>
          <w:sz w:val="20"/>
        </w:rPr>
        <w:t>términos</w:t>
      </w:r>
      <w:r>
        <w:rPr>
          <w:spacing w:val="-2"/>
          <w:sz w:val="20"/>
        </w:rPr>
        <w:t> </w:t>
      </w:r>
      <w:r>
        <w:rPr>
          <w:sz w:val="20"/>
        </w:rPr>
        <w:t>de</w:t>
      </w:r>
      <w:r>
        <w:rPr>
          <w:spacing w:val="-4"/>
          <w:sz w:val="20"/>
        </w:rPr>
        <w:t> </w:t>
      </w:r>
      <w:r>
        <w:rPr>
          <w:sz w:val="20"/>
        </w:rPr>
        <w:t>los</w:t>
      </w:r>
      <w:r>
        <w:rPr>
          <w:spacing w:val="-2"/>
          <w:sz w:val="20"/>
        </w:rPr>
        <w:t> </w:t>
      </w:r>
      <w:r>
        <w:rPr>
          <w:sz w:val="20"/>
        </w:rPr>
        <w:t>artículos</w:t>
      </w:r>
      <w:r>
        <w:rPr>
          <w:spacing w:val="-2"/>
          <w:sz w:val="20"/>
        </w:rPr>
        <w:t> </w:t>
      </w:r>
      <w:r>
        <w:rPr>
          <w:sz w:val="20"/>
        </w:rPr>
        <w:t>26 y</w:t>
      </w:r>
      <w:r>
        <w:rPr>
          <w:spacing w:val="-4"/>
          <w:sz w:val="20"/>
        </w:rPr>
        <w:t> </w:t>
      </w:r>
      <w:r>
        <w:rPr>
          <w:sz w:val="20"/>
        </w:rPr>
        <w:t>26-A</w:t>
      </w:r>
      <w:r>
        <w:rPr>
          <w:spacing w:val="-1"/>
          <w:sz w:val="20"/>
        </w:rPr>
        <w:t> </w:t>
      </w:r>
      <w:r>
        <w:rPr>
          <w:sz w:val="20"/>
        </w:rPr>
        <w:t>de</w:t>
      </w:r>
      <w:r>
        <w:rPr>
          <w:spacing w:val="-2"/>
          <w:sz w:val="20"/>
        </w:rPr>
        <w:t> </w:t>
      </w:r>
      <w:r>
        <w:rPr>
          <w:sz w:val="20"/>
        </w:rPr>
        <w:t>esta</w:t>
      </w:r>
      <w:r>
        <w:rPr>
          <w:spacing w:val="-4"/>
          <w:sz w:val="20"/>
        </w:rPr>
        <w:t> </w:t>
      </w:r>
      <w:r>
        <w:rPr>
          <w:sz w:val="20"/>
        </w:rPr>
        <w:t>Ley,</w:t>
      </w:r>
      <w:r>
        <w:rPr>
          <w:spacing w:val="-1"/>
          <w:sz w:val="20"/>
        </w:rPr>
        <w:t> </w:t>
      </w:r>
      <w:r>
        <w:rPr>
          <w:sz w:val="20"/>
        </w:rPr>
        <w:t>con</w:t>
      </w:r>
      <w:r>
        <w:rPr>
          <w:spacing w:val="-2"/>
          <w:sz w:val="20"/>
        </w:rPr>
        <w:t> </w:t>
      </w:r>
      <w:r>
        <w:rPr>
          <w:sz w:val="20"/>
        </w:rPr>
        <w:t>las erogaciones que correspondan por concepto de remuneraciones, incluyendo sueldos y prestaciones autorizados, impuestos federales y aportaciones de seguridad social;</w:t>
      </w:r>
    </w:p>
    <w:p>
      <w:pPr>
        <w:pStyle w:val="ListParagraph"/>
        <w:numPr>
          <w:ilvl w:val="0"/>
          <w:numId w:val="9"/>
        </w:numPr>
        <w:tabs>
          <w:tab w:pos="1006" w:val="left" w:leader="none"/>
          <w:tab w:pos="1009" w:val="left" w:leader="none"/>
        </w:tabs>
        <w:spacing w:line="242" w:lineRule="auto" w:before="223" w:after="0"/>
        <w:ind w:left="1009" w:right="146" w:hanging="720"/>
        <w:jc w:val="both"/>
        <w:rPr>
          <w:sz w:val="20"/>
        </w:rPr>
      </w:pPr>
      <w:r>
        <w:rPr>
          <w:sz w:val="20"/>
        </w:rPr>
        <w:t>Las ampliaciones presupuestarias que se hubieren autorizado al Fondo durante el ejercicio fiscal inmediato anterior a aquél que se presupueste, como resultado del incremento salarial que, en su caso, se pacte en términos del artículo 27-A de esta Ley;</w:t>
      </w:r>
    </w:p>
    <w:p>
      <w:pPr>
        <w:pStyle w:val="ListParagraph"/>
        <w:numPr>
          <w:ilvl w:val="0"/>
          <w:numId w:val="9"/>
        </w:numPr>
        <w:tabs>
          <w:tab w:pos="1009" w:val="left" w:leader="none"/>
        </w:tabs>
        <w:spacing w:line="240" w:lineRule="auto" w:before="225" w:after="0"/>
        <w:ind w:left="1009" w:right="0" w:hanging="720"/>
        <w:jc w:val="left"/>
        <w:rPr>
          <w:sz w:val="20"/>
        </w:rPr>
      </w:pPr>
      <w:r>
        <w:rPr>
          <w:sz w:val="20"/>
        </w:rPr>
        <w:t>La</w:t>
      </w:r>
      <w:r>
        <w:rPr>
          <w:spacing w:val="-6"/>
          <w:sz w:val="20"/>
        </w:rPr>
        <w:t> </w:t>
      </w:r>
      <w:r>
        <w:rPr>
          <w:sz w:val="20"/>
        </w:rPr>
        <w:t>creación</w:t>
      </w:r>
      <w:r>
        <w:rPr>
          <w:spacing w:val="-6"/>
          <w:sz w:val="20"/>
        </w:rPr>
        <w:t> </w:t>
      </w:r>
      <w:r>
        <w:rPr>
          <w:sz w:val="20"/>
        </w:rPr>
        <w:t>de</w:t>
      </w:r>
      <w:r>
        <w:rPr>
          <w:spacing w:val="-5"/>
          <w:sz w:val="20"/>
        </w:rPr>
        <w:t> </w:t>
      </w:r>
      <w:r>
        <w:rPr>
          <w:sz w:val="20"/>
        </w:rPr>
        <w:t>plazas,</w:t>
      </w:r>
      <w:r>
        <w:rPr>
          <w:spacing w:val="-5"/>
          <w:sz w:val="20"/>
        </w:rPr>
        <w:t> </w:t>
      </w:r>
      <w:r>
        <w:rPr>
          <w:sz w:val="20"/>
        </w:rPr>
        <w:t>que</w:t>
      </w:r>
      <w:r>
        <w:rPr>
          <w:spacing w:val="-4"/>
          <w:sz w:val="20"/>
        </w:rPr>
        <w:t> </w:t>
      </w:r>
      <w:r>
        <w:rPr>
          <w:sz w:val="20"/>
        </w:rPr>
        <w:t>en</w:t>
      </w:r>
      <w:r>
        <w:rPr>
          <w:spacing w:val="-6"/>
          <w:sz w:val="20"/>
        </w:rPr>
        <w:t> </w:t>
      </w:r>
      <w:r>
        <w:rPr>
          <w:sz w:val="20"/>
        </w:rPr>
        <w:t>su</w:t>
      </w:r>
      <w:r>
        <w:rPr>
          <w:spacing w:val="-5"/>
          <w:sz w:val="20"/>
        </w:rPr>
        <w:t> </w:t>
      </w:r>
      <w:r>
        <w:rPr>
          <w:sz w:val="20"/>
        </w:rPr>
        <w:t>caso,</w:t>
      </w:r>
      <w:r>
        <w:rPr>
          <w:spacing w:val="-5"/>
          <w:sz w:val="20"/>
        </w:rPr>
        <w:t> </w:t>
      </w:r>
      <w:r>
        <w:rPr>
          <w:sz w:val="20"/>
        </w:rPr>
        <w:t>se</w:t>
      </w:r>
      <w:r>
        <w:rPr>
          <w:spacing w:val="-3"/>
          <w:sz w:val="20"/>
        </w:rPr>
        <w:t> </w:t>
      </w:r>
      <w:r>
        <w:rPr>
          <w:spacing w:val="-2"/>
          <w:sz w:val="20"/>
        </w:rPr>
        <w:t>autorice.</w:t>
      </w:r>
    </w:p>
    <w:p>
      <w:pPr>
        <w:pStyle w:val="BodyText"/>
        <w:spacing w:before="1"/>
      </w:pPr>
    </w:p>
    <w:p>
      <w:pPr>
        <w:pStyle w:val="BodyText"/>
        <w:ind w:left="1009" w:right="144"/>
        <w:jc w:val="both"/>
      </w:pPr>
      <w:r>
        <w:rPr/>
        <w:t>No</w:t>
      </w:r>
      <w:r>
        <w:rPr>
          <w:spacing w:val="-3"/>
        </w:rPr>
        <w:t> </w:t>
      </w:r>
      <w:r>
        <w:rPr/>
        <w:t>podrán</w:t>
      </w:r>
      <w:r>
        <w:rPr>
          <w:spacing w:val="-3"/>
        </w:rPr>
        <w:t> </w:t>
      </w:r>
      <w:r>
        <w:rPr/>
        <w:t>crearse</w:t>
      </w:r>
      <w:r>
        <w:rPr>
          <w:spacing w:val="-1"/>
        </w:rPr>
        <w:t> </w:t>
      </w:r>
      <w:r>
        <w:rPr/>
        <w:t>plazas</w:t>
      </w:r>
      <w:r>
        <w:rPr>
          <w:spacing w:val="-2"/>
        </w:rPr>
        <w:t> </w:t>
      </w:r>
      <w:r>
        <w:rPr/>
        <w:t>con</w:t>
      </w:r>
      <w:r>
        <w:rPr>
          <w:spacing w:val="-4"/>
        </w:rPr>
        <w:t> </w:t>
      </w:r>
      <w:r>
        <w:rPr/>
        <w:t>cargo</w:t>
      </w:r>
      <w:r>
        <w:rPr>
          <w:spacing w:val="-1"/>
        </w:rPr>
        <w:t> </w:t>
      </w:r>
      <w:r>
        <w:rPr/>
        <w:t>a</w:t>
      </w:r>
      <w:r>
        <w:rPr>
          <w:spacing w:val="-1"/>
        </w:rPr>
        <w:t> </w:t>
      </w:r>
      <w:r>
        <w:rPr/>
        <w:t>este</w:t>
      </w:r>
      <w:r>
        <w:rPr>
          <w:spacing w:val="-4"/>
        </w:rPr>
        <w:t> </w:t>
      </w:r>
      <w:r>
        <w:rPr/>
        <w:t>Fondo,</w:t>
      </w:r>
      <w:r>
        <w:rPr>
          <w:spacing w:val="-1"/>
        </w:rPr>
        <w:t> </w:t>
      </w:r>
      <w:r>
        <w:rPr/>
        <w:t>salvo</w:t>
      </w:r>
      <w:r>
        <w:rPr>
          <w:spacing w:val="-1"/>
        </w:rPr>
        <w:t> </w:t>
      </w:r>
      <w:r>
        <w:rPr/>
        <w:t>que</w:t>
      </w:r>
      <w:r>
        <w:rPr>
          <w:spacing w:val="-1"/>
        </w:rPr>
        <w:t> </w:t>
      </w:r>
      <w:r>
        <w:rPr/>
        <w:t>estén</w:t>
      </w:r>
      <w:r>
        <w:rPr>
          <w:spacing w:val="-1"/>
        </w:rPr>
        <w:t> </w:t>
      </w:r>
      <w:r>
        <w:rPr/>
        <w:t>plenamente</w:t>
      </w:r>
      <w:r>
        <w:rPr>
          <w:spacing w:val="-4"/>
        </w:rPr>
        <w:t> </w:t>
      </w:r>
      <w:r>
        <w:rPr/>
        <w:t>justificadas en términos de la Ley General del Servicio Profesional Docente y las demás disposiciones aplicables,</w:t>
      </w:r>
      <w:r>
        <w:rPr>
          <w:spacing w:val="-2"/>
        </w:rPr>
        <w:t> </w:t>
      </w:r>
      <w:r>
        <w:rPr/>
        <w:t>así</w:t>
      </w:r>
      <w:r>
        <w:rPr>
          <w:spacing w:val="-2"/>
        </w:rPr>
        <w:t> </w:t>
      </w:r>
      <w:r>
        <w:rPr/>
        <w:t>como</w:t>
      </w:r>
      <w:r>
        <w:rPr>
          <w:spacing w:val="-2"/>
        </w:rPr>
        <w:t> </w:t>
      </w:r>
      <w:r>
        <w:rPr/>
        <w:t>los</w:t>
      </w:r>
      <w:r>
        <w:rPr>
          <w:spacing w:val="-2"/>
        </w:rPr>
        <w:t> </w:t>
      </w:r>
      <w:r>
        <w:rPr/>
        <w:t>recursos</w:t>
      </w:r>
      <w:r>
        <w:rPr>
          <w:spacing w:val="-2"/>
        </w:rPr>
        <w:t> </w:t>
      </w:r>
      <w:r>
        <w:rPr/>
        <w:t>necesarios</w:t>
      </w:r>
      <w:r>
        <w:rPr>
          <w:spacing w:val="-2"/>
        </w:rPr>
        <w:t> </w:t>
      </w:r>
      <w:r>
        <w:rPr/>
        <w:t>para</w:t>
      </w:r>
      <w:r>
        <w:rPr>
          <w:spacing w:val="-2"/>
        </w:rPr>
        <w:t> </w:t>
      </w:r>
      <w:r>
        <w:rPr/>
        <w:t>su</w:t>
      </w:r>
      <w:r>
        <w:rPr>
          <w:spacing w:val="-1"/>
        </w:rPr>
        <w:t> </w:t>
      </w:r>
      <w:r>
        <w:rPr/>
        <w:t>creación</w:t>
      </w:r>
      <w:r>
        <w:rPr>
          <w:spacing w:val="-1"/>
        </w:rPr>
        <w:t> </w:t>
      </w:r>
      <w:r>
        <w:rPr/>
        <w:t>estén expresamente</w:t>
      </w:r>
      <w:r>
        <w:rPr>
          <w:spacing w:val="-3"/>
        </w:rPr>
        <w:t> </w:t>
      </w:r>
      <w:r>
        <w:rPr/>
        <w:t>aprobados en el Presupuesto de Egresos de la Federación del ejercicio fiscal correspondiente, y</w:t>
      </w:r>
    </w:p>
    <w:p>
      <w:pPr>
        <w:pStyle w:val="ListParagraph"/>
        <w:numPr>
          <w:ilvl w:val="0"/>
          <w:numId w:val="9"/>
        </w:numPr>
        <w:tabs>
          <w:tab w:pos="1009" w:val="left" w:leader="none"/>
        </w:tabs>
        <w:spacing w:line="240" w:lineRule="auto" w:before="230" w:after="0"/>
        <w:ind w:left="1009" w:right="146" w:hanging="720"/>
        <w:jc w:val="both"/>
        <w:rPr>
          <w:sz w:val="20"/>
        </w:rPr>
      </w:pPr>
      <w:r>
        <w:rPr>
          <w:sz w:val="20"/>
        </w:rPr>
        <w:t>Los gastos de operación y la actualización que se determine para el ejercicio que se presupueste.</w:t>
      </w:r>
      <w:r>
        <w:rPr>
          <w:spacing w:val="-1"/>
          <w:sz w:val="20"/>
        </w:rPr>
        <w:t> </w:t>
      </w:r>
      <w:r>
        <w:rPr>
          <w:sz w:val="20"/>
        </w:rPr>
        <w:t>La</w:t>
      </w:r>
      <w:r>
        <w:rPr>
          <w:spacing w:val="-1"/>
          <w:sz w:val="20"/>
        </w:rPr>
        <w:t> </w:t>
      </w:r>
      <w:r>
        <w:rPr>
          <w:sz w:val="20"/>
        </w:rPr>
        <w:t>distribución</w:t>
      </w:r>
      <w:r>
        <w:rPr>
          <w:spacing w:val="-1"/>
          <w:sz w:val="20"/>
        </w:rPr>
        <w:t> </w:t>
      </w:r>
      <w:r>
        <w:rPr>
          <w:sz w:val="20"/>
        </w:rPr>
        <w:t>de estos recursos se</w:t>
      </w:r>
      <w:r>
        <w:rPr>
          <w:spacing w:val="-1"/>
          <w:sz w:val="20"/>
        </w:rPr>
        <w:t> </w:t>
      </w:r>
      <w:r>
        <w:rPr>
          <w:sz w:val="20"/>
        </w:rPr>
        <w:t>realizará</w:t>
      </w:r>
      <w:r>
        <w:rPr>
          <w:spacing w:val="-1"/>
          <w:sz w:val="20"/>
        </w:rPr>
        <w:t> </w:t>
      </w:r>
      <w:r>
        <w:rPr>
          <w:sz w:val="20"/>
        </w:rPr>
        <w:t>cada</w:t>
      </w:r>
      <w:r>
        <w:rPr>
          <w:spacing w:val="-1"/>
          <w:sz w:val="20"/>
        </w:rPr>
        <w:t> </w:t>
      </w:r>
      <w:r>
        <w:rPr>
          <w:sz w:val="20"/>
        </w:rPr>
        <w:t>año a</w:t>
      </w:r>
      <w:r>
        <w:rPr>
          <w:spacing w:val="-1"/>
          <w:sz w:val="20"/>
        </w:rPr>
        <w:t> </w:t>
      </w:r>
      <w:r>
        <w:rPr>
          <w:sz w:val="20"/>
        </w:rPr>
        <w:t>nivel nacional</w:t>
      </w:r>
      <w:r>
        <w:rPr>
          <w:spacing w:val="-2"/>
          <w:sz w:val="20"/>
        </w:rPr>
        <w:t> </w:t>
      </w:r>
      <w:r>
        <w:rPr>
          <w:sz w:val="20"/>
        </w:rPr>
        <w:t>entre las entidades federativas, de acuerdo con la siguiente fórmula:</w:t>
      </w:r>
    </w:p>
    <w:p>
      <w:pPr>
        <w:spacing w:before="226"/>
        <w:ind w:left="1156" w:right="1296" w:firstLine="0"/>
        <w:jc w:val="center"/>
        <w:rPr>
          <w:rFonts w:ascii="Arial" w:hAnsi="Arial"/>
          <w:i/>
          <w:sz w:val="20"/>
        </w:rPr>
      </w:pPr>
      <w:r>
        <w:rPr>
          <w:rFonts w:ascii="Arial" w:hAnsi="Arial"/>
          <w:i/>
          <w:sz w:val="20"/>
        </w:rPr>
        <w:t>GO</w:t>
      </w:r>
      <w:r>
        <w:rPr>
          <w:rFonts w:ascii="Arial" w:hAnsi="Arial"/>
          <w:i/>
          <w:position w:val="-3"/>
          <w:sz w:val="20"/>
        </w:rPr>
        <w:t>i</w:t>
      </w:r>
      <w:r>
        <w:rPr>
          <w:rFonts w:ascii="Arial" w:hAnsi="Arial"/>
          <w:i/>
          <w:spacing w:val="-6"/>
          <w:position w:val="-3"/>
          <w:sz w:val="20"/>
        </w:rPr>
        <w:t> </w:t>
      </w:r>
      <w:r>
        <w:rPr>
          <w:rFonts w:ascii="Arial" w:hAnsi="Arial"/>
          <w:i/>
          <w:position w:val="-3"/>
          <w:sz w:val="20"/>
        </w:rPr>
        <w:t>=</w:t>
      </w:r>
      <w:r>
        <w:rPr>
          <w:rFonts w:ascii="Arial" w:hAnsi="Arial"/>
          <w:i/>
          <w:spacing w:val="-5"/>
          <w:position w:val="-3"/>
          <w:sz w:val="20"/>
        </w:rPr>
        <w:t> </w:t>
      </w:r>
      <w:r>
        <w:rPr>
          <w:rFonts w:ascii="Arial" w:hAnsi="Arial"/>
          <w:i/>
          <w:sz w:val="20"/>
        </w:rPr>
        <w:t>GO</w:t>
      </w:r>
      <w:r>
        <w:rPr>
          <w:rFonts w:ascii="Arial" w:hAnsi="Arial"/>
          <w:i/>
          <w:position w:val="-3"/>
          <w:sz w:val="20"/>
        </w:rPr>
        <w:t>i,2013</w:t>
      </w:r>
      <w:r>
        <w:rPr>
          <w:rFonts w:ascii="Arial" w:hAnsi="Arial"/>
          <w:i/>
          <w:spacing w:val="-3"/>
          <w:position w:val="-3"/>
          <w:sz w:val="20"/>
        </w:rPr>
        <w:t> </w:t>
      </w:r>
      <w:r>
        <w:rPr>
          <w:rFonts w:ascii="Arial" w:hAnsi="Arial"/>
          <w:i/>
          <w:sz w:val="20"/>
        </w:rPr>
        <w:t>+</w:t>
      </w:r>
      <w:r>
        <w:rPr>
          <w:rFonts w:ascii="Arial" w:hAnsi="Arial"/>
          <w:i/>
          <w:spacing w:val="-5"/>
          <w:sz w:val="20"/>
        </w:rPr>
        <w:t> </w:t>
      </w:r>
      <w:r>
        <w:rPr>
          <w:rFonts w:ascii="Arial" w:hAnsi="Arial"/>
          <w:i/>
          <w:sz w:val="20"/>
        </w:rPr>
        <w:t>((GO</w:t>
      </w:r>
      <w:r>
        <w:rPr>
          <w:rFonts w:ascii="Arial" w:hAnsi="Arial"/>
          <w:i/>
          <w:position w:val="-3"/>
          <w:sz w:val="20"/>
        </w:rPr>
        <w:t>t</w:t>
      </w:r>
      <w:r>
        <w:rPr>
          <w:rFonts w:ascii="Arial" w:hAnsi="Arial"/>
          <w:i/>
          <w:spacing w:val="-4"/>
          <w:position w:val="-3"/>
          <w:sz w:val="20"/>
        </w:rPr>
        <w:t> </w:t>
      </w:r>
      <w:r>
        <w:rPr>
          <w:rFonts w:ascii="Arial" w:hAnsi="Arial"/>
          <w:i/>
          <w:position w:val="-3"/>
          <w:sz w:val="20"/>
        </w:rPr>
        <w:t>–</w:t>
      </w:r>
      <w:r>
        <w:rPr>
          <w:rFonts w:ascii="Arial" w:hAnsi="Arial"/>
          <w:i/>
          <w:spacing w:val="-3"/>
          <w:position w:val="-3"/>
          <w:sz w:val="20"/>
        </w:rPr>
        <w:t> </w:t>
      </w:r>
      <w:r>
        <w:rPr>
          <w:rFonts w:ascii="Arial" w:hAnsi="Arial"/>
          <w:i/>
          <w:sz w:val="20"/>
        </w:rPr>
        <w:t>GO</w:t>
      </w:r>
      <w:r>
        <w:rPr>
          <w:rFonts w:ascii="Arial" w:hAnsi="Arial"/>
          <w:i/>
          <w:position w:val="-3"/>
          <w:sz w:val="20"/>
        </w:rPr>
        <w:t>2013</w:t>
      </w:r>
      <w:r>
        <w:rPr>
          <w:rFonts w:ascii="Arial" w:hAnsi="Arial"/>
          <w:i/>
          <w:sz w:val="20"/>
        </w:rPr>
        <w:t>)</w:t>
      </w:r>
      <w:r>
        <w:rPr>
          <w:rFonts w:ascii="Arial" w:hAnsi="Arial"/>
          <w:i/>
          <w:spacing w:val="-1"/>
          <w:sz w:val="20"/>
        </w:rPr>
        <w:t> </w:t>
      </w:r>
      <w:r>
        <w:rPr>
          <w:rFonts w:ascii="Arial" w:hAnsi="Arial"/>
          <w:i/>
          <w:spacing w:val="-4"/>
          <w:sz w:val="20"/>
        </w:rPr>
        <w:t>MP</w:t>
      </w:r>
      <w:r>
        <w:rPr>
          <w:rFonts w:ascii="Arial" w:hAnsi="Arial"/>
          <w:i/>
          <w:spacing w:val="-4"/>
          <w:position w:val="-3"/>
          <w:sz w:val="20"/>
        </w:rPr>
        <w:t>i</w:t>
      </w:r>
      <w:r>
        <w:rPr>
          <w:rFonts w:ascii="Arial" w:hAnsi="Arial"/>
          <w:i/>
          <w:spacing w:val="-4"/>
          <w:sz w:val="20"/>
        </w:rPr>
        <w:t>)</w:t>
      </w:r>
    </w:p>
    <w:p>
      <w:pPr>
        <w:pStyle w:val="BodyText"/>
        <w:spacing w:before="5"/>
        <w:rPr>
          <w:rFonts w:ascii="Arial"/>
          <w:i/>
        </w:rPr>
      </w:pPr>
    </w:p>
    <w:p>
      <w:pPr>
        <w:pStyle w:val="BodyText"/>
        <w:ind w:left="1705"/>
      </w:pPr>
      <w:r>
        <w:rPr>
          <w:spacing w:val="-2"/>
        </w:rPr>
        <w:t>Donde:</w:t>
      </w:r>
    </w:p>
    <w:p>
      <w:pPr>
        <w:pStyle w:val="BodyText"/>
        <w:spacing w:before="3"/>
      </w:pPr>
    </w:p>
    <w:p>
      <w:pPr>
        <w:spacing w:before="0"/>
        <w:ind w:left="273" w:right="0" w:firstLine="0"/>
        <w:jc w:val="center"/>
        <w:rPr>
          <w:rFonts w:ascii="Cambria Math" w:eastAsia="Cambria Math"/>
          <w:sz w:val="20"/>
        </w:rPr>
      </w:pPr>
      <w:r>
        <w:rPr>
          <w:rFonts w:ascii="Cambria Math" w:eastAsia="Cambria Math"/>
          <w:spacing w:val="-2"/>
          <w:sz w:val="20"/>
        </w:rPr>
        <w:t>𝑀𝑃𝑖</w:t>
      </w:r>
      <w:r>
        <w:rPr>
          <w:spacing w:val="-2"/>
          <w:sz w:val="20"/>
        </w:rPr>
        <w:t>=</w:t>
      </w:r>
      <w:r>
        <w:rPr>
          <w:rFonts w:ascii="Cambria Math" w:eastAsia="Cambria Math"/>
          <w:spacing w:val="-2"/>
          <w:sz w:val="20"/>
        </w:rPr>
        <w:t>𝐻𝑛𝑖</w:t>
      </w:r>
      <w:r>
        <w:rPr>
          <w:spacing w:val="-2"/>
          <w:sz w:val="20"/>
        </w:rPr>
        <w:t>/</w:t>
      </w:r>
      <w:r>
        <w:rPr>
          <w:rFonts w:ascii="Cambria Math" w:eastAsia="Cambria Math"/>
          <w:spacing w:val="-2"/>
          <w:sz w:val="20"/>
        </w:rPr>
        <w:t>𝐻𝑁</w:t>
      </w:r>
    </w:p>
    <w:p>
      <w:pPr>
        <w:pStyle w:val="BodyText"/>
        <w:spacing w:before="223"/>
        <w:ind w:left="1705"/>
        <w:rPr>
          <w:position w:val="2"/>
        </w:rPr>
      </w:pPr>
      <w:r>
        <w:rPr>
          <w:rFonts w:ascii="Arial"/>
          <w:i/>
          <w:position w:val="2"/>
        </w:rPr>
        <w:t>GO</w:t>
      </w:r>
      <w:r>
        <w:rPr>
          <w:rFonts w:ascii="Arial"/>
          <w:i/>
          <w:sz w:val="13"/>
        </w:rPr>
        <w:t>t</w:t>
      </w:r>
      <w:r>
        <w:rPr>
          <w:rFonts w:ascii="Arial"/>
          <w:i/>
          <w:spacing w:val="13"/>
          <w:sz w:val="13"/>
        </w:rPr>
        <w:t> </w:t>
      </w:r>
      <w:r>
        <w:rPr>
          <w:position w:val="2"/>
        </w:rPr>
        <w:t>es</w:t>
      </w:r>
      <w:r>
        <w:rPr>
          <w:spacing w:val="-5"/>
          <w:position w:val="2"/>
        </w:rPr>
        <w:t> </w:t>
      </w:r>
      <w:r>
        <w:rPr>
          <w:position w:val="2"/>
        </w:rPr>
        <w:t>el</w:t>
      </w:r>
      <w:r>
        <w:rPr>
          <w:spacing w:val="-6"/>
          <w:position w:val="2"/>
        </w:rPr>
        <w:t> </w:t>
      </w:r>
      <w:r>
        <w:rPr>
          <w:position w:val="2"/>
        </w:rPr>
        <w:t>monto</w:t>
      </w:r>
      <w:r>
        <w:rPr>
          <w:spacing w:val="-7"/>
          <w:position w:val="2"/>
        </w:rPr>
        <w:t> </w:t>
      </w:r>
      <w:r>
        <w:rPr>
          <w:position w:val="2"/>
        </w:rPr>
        <w:t>total</w:t>
      </w:r>
      <w:r>
        <w:rPr>
          <w:spacing w:val="-4"/>
          <w:position w:val="2"/>
        </w:rPr>
        <w:t> </w:t>
      </w:r>
      <w:r>
        <w:rPr>
          <w:position w:val="2"/>
        </w:rPr>
        <w:t>del</w:t>
      </w:r>
      <w:r>
        <w:rPr>
          <w:spacing w:val="-7"/>
          <w:position w:val="2"/>
        </w:rPr>
        <w:t> </w:t>
      </w:r>
      <w:r>
        <w:rPr>
          <w:position w:val="2"/>
        </w:rPr>
        <w:t>recurso</w:t>
      </w:r>
      <w:r>
        <w:rPr>
          <w:spacing w:val="-5"/>
          <w:position w:val="2"/>
        </w:rPr>
        <w:t> </w:t>
      </w:r>
      <w:r>
        <w:rPr>
          <w:position w:val="2"/>
        </w:rPr>
        <w:t>destinado</w:t>
      </w:r>
      <w:r>
        <w:rPr>
          <w:spacing w:val="-4"/>
          <w:position w:val="2"/>
        </w:rPr>
        <w:t> </w:t>
      </w:r>
      <w:r>
        <w:rPr>
          <w:position w:val="2"/>
        </w:rPr>
        <w:t>a</w:t>
      </w:r>
      <w:r>
        <w:rPr>
          <w:spacing w:val="-6"/>
          <w:position w:val="2"/>
        </w:rPr>
        <w:t> </w:t>
      </w:r>
      <w:r>
        <w:rPr>
          <w:position w:val="2"/>
        </w:rPr>
        <w:t>gasto</w:t>
      </w:r>
      <w:r>
        <w:rPr>
          <w:spacing w:val="-7"/>
          <w:position w:val="2"/>
        </w:rPr>
        <w:t> </w:t>
      </w:r>
      <w:r>
        <w:rPr>
          <w:position w:val="2"/>
        </w:rPr>
        <w:t>operativo</w:t>
      </w:r>
      <w:r>
        <w:rPr>
          <w:spacing w:val="-3"/>
          <w:position w:val="2"/>
        </w:rPr>
        <w:t> </w:t>
      </w:r>
      <w:r>
        <w:rPr>
          <w:position w:val="2"/>
        </w:rPr>
        <w:t>del</w:t>
      </w:r>
      <w:r>
        <w:rPr>
          <w:spacing w:val="-7"/>
          <w:position w:val="2"/>
        </w:rPr>
        <w:t> </w:t>
      </w:r>
      <w:r>
        <w:rPr>
          <w:spacing w:val="-2"/>
          <w:position w:val="2"/>
        </w:rPr>
        <w:t>FONE.</w:t>
      </w:r>
    </w:p>
    <w:p>
      <w:pPr>
        <w:pStyle w:val="BodyText"/>
        <w:spacing w:before="226"/>
        <w:ind w:left="1417" w:right="148" w:firstLine="288"/>
        <w:jc w:val="both"/>
        <w:rPr>
          <w:rFonts w:ascii="Cambria Math" w:eastAsia="Cambria Math"/>
        </w:rPr>
      </w:pPr>
      <w:r>
        <w:rPr>
          <w:rFonts w:ascii="Arial" w:eastAsia="Arial"/>
          <w:i/>
          <w:position w:val="2"/>
        </w:rPr>
        <w:t>GO</w:t>
      </w:r>
      <w:r>
        <w:rPr>
          <w:rFonts w:ascii="Arial" w:eastAsia="Arial"/>
          <w:i/>
          <w:sz w:val="13"/>
        </w:rPr>
        <w:t>i</w:t>
      </w:r>
      <w:r>
        <w:rPr>
          <w:rFonts w:ascii="Arial" w:eastAsia="Arial"/>
          <w:i/>
          <w:spacing w:val="40"/>
          <w:sz w:val="13"/>
        </w:rPr>
        <w:t> </w:t>
      </w:r>
      <w:r>
        <w:rPr>
          <w:position w:val="2"/>
        </w:rPr>
        <w:t>es el monto del recurso destinado a gasto operativo del FONE para la entidad </w:t>
      </w:r>
      <w:r>
        <w:rPr/>
        <w:t>federativa i. </w:t>
      </w:r>
      <w:r>
        <w:rPr>
          <w:rFonts w:ascii="Cambria Math" w:eastAsia="Cambria Math"/>
        </w:rPr>
        <w:t>𝑀𝑃𝑖</w:t>
      </w:r>
      <w:r>
        <w:rPr/>
        <w:t>=</w:t>
      </w:r>
      <w:r>
        <w:rPr>
          <w:rFonts w:ascii="Cambria Math" w:eastAsia="Cambria Math"/>
        </w:rPr>
        <w:t>𝐻𝑛𝑖</w:t>
      </w:r>
      <w:r>
        <w:rPr/>
        <w:t>/</w:t>
      </w:r>
      <w:r>
        <w:rPr>
          <w:rFonts w:ascii="Cambria Math" w:eastAsia="Cambria Math"/>
        </w:rPr>
        <w:t>𝐻𝑁</w:t>
      </w:r>
    </w:p>
    <w:p>
      <w:pPr>
        <w:pStyle w:val="BodyText"/>
        <w:spacing w:before="224"/>
        <w:ind w:left="1417" w:right="144" w:firstLine="288"/>
        <w:jc w:val="both"/>
      </w:pPr>
      <w:r>
        <w:rPr>
          <w:rFonts w:ascii="Arial" w:hAnsi="Arial"/>
          <w:i/>
          <w:position w:val="2"/>
        </w:rPr>
        <w:t>GO</w:t>
      </w:r>
      <w:r>
        <w:rPr>
          <w:rFonts w:ascii="Arial" w:hAnsi="Arial"/>
          <w:i/>
          <w:sz w:val="13"/>
        </w:rPr>
        <w:t>i,2013</w:t>
      </w:r>
      <w:r>
        <w:rPr>
          <w:rFonts w:ascii="Arial" w:hAnsi="Arial"/>
          <w:i/>
          <w:spacing w:val="40"/>
          <w:sz w:val="13"/>
        </w:rPr>
        <w:t> </w:t>
      </w:r>
      <w:r>
        <w:rPr>
          <w:position w:val="2"/>
        </w:rPr>
        <w:t>es el Gasto de Operación presupuestado para la entidad federativa i en el</w:t>
      </w:r>
      <w:r>
        <w:rPr>
          <w:spacing w:val="40"/>
          <w:position w:val="2"/>
        </w:rPr>
        <w:t> </w:t>
      </w:r>
      <w:r>
        <w:rPr/>
        <w:t>PEF 2013.</w:t>
      </w:r>
    </w:p>
    <w:p>
      <w:pPr>
        <w:pStyle w:val="BodyText"/>
        <w:spacing w:before="226"/>
        <w:ind w:left="1705"/>
        <w:rPr>
          <w:position w:val="2"/>
        </w:rPr>
      </w:pPr>
      <w:r>
        <w:rPr>
          <w:rFonts w:ascii="Arial" w:hAnsi="Arial"/>
          <w:i/>
          <w:position w:val="2"/>
        </w:rPr>
        <w:t>GO</w:t>
      </w:r>
      <w:r>
        <w:rPr>
          <w:rFonts w:ascii="Arial" w:hAnsi="Arial"/>
          <w:i/>
          <w:sz w:val="13"/>
        </w:rPr>
        <w:t>2013</w:t>
      </w:r>
      <w:r>
        <w:rPr>
          <w:rFonts w:ascii="Arial" w:hAnsi="Arial"/>
          <w:i/>
          <w:spacing w:val="-4"/>
          <w:sz w:val="13"/>
        </w:rPr>
        <w:t> </w:t>
      </w:r>
      <w:r>
        <w:rPr>
          <w:position w:val="2"/>
        </w:rPr>
        <w:t>es</w:t>
      </w:r>
      <w:r>
        <w:rPr>
          <w:spacing w:val="-5"/>
          <w:position w:val="2"/>
        </w:rPr>
        <w:t> </w:t>
      </w:r>
      <w:r>
        <w:rPr>
          <w:position w:val="2"/>
        </w:rPr>
        <w:t>el</w:t>
      </w:r>
      <w:r>
        <w:rPr>
          <w:spacing w:val="-7"/>
          <w:position w:val="2"/>
        </w:rPr>
        <w:t> </w:t>
      </w:r>
      <w:r>
        <w:rPr>
          <w:position w:val="2"/>
        </w:rPr>
        <w:t>Gasto</w:t>
      </w:r>
      <w:r>
        <w:rPr>
          <w:spacing w:val="-7"/>
          <w:position w:val="2"/>
        </w:rPr>
        <w:t> </w:t>
      </w:r>
      <w:r>
        <w:rPr>
          <w:position w:val="2"/>
        </w:rPr>
        <w:t>de</w:t>
      </w:r>
      <w:r>
        <w:rPr>
          <w:spacing w:val="-6"/>
          <w:position w:val="2"/>
        </w:rPr>
        <w:t> </w:t>
      </w:r>
      <w:r>
        <w:rPr>
          <w:position w:val="2"/>
        </w:rPr>
        <w:t>Operación</w:t>
      </w:r>
      <w:r>
        <w:rPr>
          <w:spacing w:val="-5"/>
          <w:position w:val="2"/>
        </w:rPr>
        <w:t> </w:t>
      </w:r>
      <w:r>
        <w:rPr>
          <w:position w:val="2"/>
        </w:rPr>
        <w:t>presupuestado</w:t>
      </w:r>
      <w:r>
        <w:rPr>
          <w:spacing w:val="-6"/>
          <w:position w:val="2"/>
        </w:rPr>
        <w:t> </w:t>
      </w:r>
      <w:r>
        <w:rPr>
          <w:position w:val="2"/>
        </w:rPr>
        <w:t>en</w:t>
      </w:r>
      <w:r>
        <w:rPr>
          <w:spacing w:val="-6"/>
          <w:position w:val="2"/>
        </w:rPr>
        <w:t> </w:t>
      </w:r>
      <w:r>
        <w:rPr>
          <w:position w:val="2"/>
        </w:rPr>
        <w:t>el</w:t>
      </w:r>
      <w:r>
        <w:rPr>
          <w:spacing w:val="-6"/>
          <w:position w:val="2"/>
        </w:rPr>
        <w:t> </w:t>
      </w:r>
      <w:r>
        <w:rPr>
          <w:position w:val="2"/>
        </w:rPr>
        <w:t>PEF</w:t>
      </w:r>
      <w:r>
        <w:rPr>
          <w:spacing w:val="-3"/>
          <w:position w:val="2"/>
        </w:rPr>
        <w:t> </w:t>
      </w:r>
      <w:r>
        <w:rPr>
          <w:spacing w:val="-2"/>
          <w:position w:val="2"/>
        </w:rPr>
        <w:t>2013.</w:t>
      </w:r>
    </w:p>
    <w:p>
      <w:pPr>
        <w:pStyle w:val="BodyText"/>
        <w:spacing w:before="224"/>
        <w:ind w:left="1417" w:right="144" w:firstLine="288"/>
        <w:jc w:val="both"/>
      </w:pPr>
      <w:r>
        <w:rPr>
          <w:rFonts w:ascii="Arial" w:hAnsi="Arial"/>
          <w:i/>
          <w:position w:val="2"/>
        </w:rPr>
        <w:t>MP</w:t>
      </w:r>
      <w:r>
        <w:rPr>
          <w:rFonts w:ascii="Arial" w:hAnsi="Arial"/>
          <w:i/>
          <w:sz w:val="13"/>
        </w:rPr>
        <w:t>i</w:t>
      </w:r>
      <w:r>
        <w:rPr>
          <w:rFonts w:ascii="Arial" w:hAnsi="Arial"/>
          <w:i/>
          <w:spacing w:val="28"/>
          <w:sz w:val="13"/>
        </w:rPr>
        <w:t> </w:t>
      </w:r>
      <w:r>
        <w:rPr>
          <w:position w:val="2"/>
        </w:rPr>
        <w:t>es la participación de la entidad federativa i en la matrícula potencial nacional en</w:t>
      </w:r>
      <w:r>
        <w:rPr>
          <w:spacing w:val="40"/>
          <w:position w:val="2"/>
        </w:rPr>
        <w:t> </w:t>
      </w:r>
      <w:r>
        <w:rPr/>
        <w:t>el año anterior para el cual se efectúa el cálculo. Por matrícula potencial se entiende el número de niños en edad de cursar educación básica.</w:t>
      </w:r>
    </w:p>
    <w:p>
      <w:pPr>
        <w:pStyle w:val="BodyText"/>
        <w:spacing w:before="226"/>
        <w:ind w:left="1705"/>
        <w:rPr>
          <w:position w:val="2"/>
        </w:rPr>
      </w:pPr>
      <w:r>
        <w:rPr>
          <w:rFonts w:ascii="Arial" w:hAnsi="Arial"/>
          <w:i/>
          <w:position w:val="2"/>
        </w:rPr>
        <w:t>Hn</w:t>
      </w:r>
      <w:r>
        <w:rPr>
          <w:rFonts w:ascii="Arial" w:hAnsi="Arial"/>
          <w:i/>
          <w:sz w:val="13"/>
        </w:rPr>
        <w:t>i</w:t>
      </w:r>
      <w:r>
        <w:rPr>
          <w:rFonts w:ascii="Arial" w:hAnsi="Arial"/>
          <w:i/>
          <w:spacing w:val="12"/>
          <w:sz w:val="13"/>
        </w:rPr>
        <w:t> </w:t>
      </w:r>
      <w:r>
        <w:rPr>
          <w:position w:val="2"/>
        </w:rPr>
        <w:t>es</w:t>
      </w:r>
      <w:r>
        <w:rPr>
          <w:spacing w:val="-5"/>
          <w:position w:val="2"/>
        </w:rPr>
        <w:t> </w:t>
      </w:r>
      <w:r>
        <w:rPr>
          <w:position w:val="2"/>
        </w:rPr>
        <w:t>el</w:t>
      </w:r>
      <w:r>
        <w:rPr>
          <w:spacing w:val="-6"/>
          <w:position w:val="2"/>
        </w:rPr>
        <w:t> </w:t>
      </w:r>
      <w:r>
        <w:rPr>
          <w:position w:val="2"/>
        </w:rPr>
        <w:t>número</w:t>
      </w:r>
      <w:r>
        <w:rPr>
          <w:spacing w:val="-5"/>
          <w:position w:val="2"/>
        </w:rPr>
        <w:t> </w:t>
      </w:r>
      <w:r>
        <w:rPr>
          <w:position w:val="2"/>
        </w:rPr>
        <w:t>de</w:t>
      </w:r>
      <w:r>
        <w:rPr>
          <w:spacing w:val="-6"/>
          <w:position w:val="2"/>
        </w:rPr>
        <w:t> </w:t>
      </w:r>
      <w:r>
        <w:rPr>
          <w:position w:val="2"/>
        </w:rPr>
        <w:t>habitantes</w:t>
      </w:r>
      <w:r>
        <w:rPr>
          <w:spacing w:val="-4"/>
          <w:position w:val="2"/>
        </w:rPr>
        <w:t> </w:t>
      </w:r>
      <w:r>
        <w:rPr>
          <w:position w:val="2"/>
        </w:rPr>
        <w:t>entre</w:t>
      </w:r>
      <w:r>
        <w:rPr>
          <w:spacing w:val="-5"/>
          <w:position w:val="2"/>
        </w:rPr>
        <w:t> </w:t>
      </w:r>
      <w:r>
        <w:rPr>
          <w:position w:val="2"/>
        </w:rPr>
        <w:t>5</w:t>
      </w:r>
      <w:r>
        <w:rPr>
          <w:spacing w:val="-1"/>
          <w:position w:val="2"/>
        </w:rPr>
        <w:t> </w:t>
      </w:r>
      <w:r>
        <w:rPr>
          <w:position w:val="2"/>
        </w:rPr>
        <w:t>y</w:t>
      </w:r>
      <w:r>
        <w:rPr>
          <w:spacing w:val="-8"/>
          <w:position w:val="2"/>
        </w:rPr>
        <w:t> </w:t>
      </w:r>
      <w:r>
        <w:rPr>
          <w:position w:val="2"/>
        </w:rPr>
        <w:t>14</w:t>
      </w:r>
      <w:r>
        <w:rPr>
          <w:spacing w:val="-5"/>
          <w:position w:val="2"/>
        </w:rPr>
        <w:t> </w:t>
      </w:r>
      <w:r>
        <w:rPr>
          <w:position w:val="2"/>
        </w:rPr>
        <w:t>años</w:t>
      </w:r>
      <w:r>
        <w:rPr>
          <w:spacing w:val="-4"/>
          <w:position w:val="2"/>
        </w:rPr>
        <w:t> </w:t>
      </w:r>
      <w:r>
        <w:rPr>
          <w:position w:val="2"/>
        </w:rPr>
        <w:t>en</w:t>
      </w:r>
      <w:r>
        <w:rPr>
          <w:spacing w:val="-5"/>
          <w:position w:val="2"/>
        </w:rPr>
        <w:t> </w:t>
      </w:r>
      <w:r>
        <w:rPr>
          <w:position w:val="2"/>
        </w:rPr>
        <w:t>la</w:t>
      </w:r>
      <w:r>
        <w:rPr>
          <w:spacing w:val="-5"/>
          <w:position w:val="2"/>
        </w:rPr>
        <w:t> </w:t>
      </w:r>
      <w:r>
        <w:rPr>
          <w:position w:val="2"/>
        </w:rPr>
        <w:t>entidad</w:t>
      </w:r>
      <w:r>
        <w:rPr>
          <w:spacing w:val="-6"/>
          <w:position w:val="2"/>
        </w:rPr>
        <w:t> </w:t>
      </w:r>
      <w:r>
        <w:rPr>
          <w:position w:val="2"/>
        </w:rPr>
        <w:t>federativa</w:t>
      </w:r>
      <w:r>
        <w:rPr>
          <w:spacing w:val="-4"/>
          <w:position w:val="2"/>
        </w:rPr>
        <w:t> </w:t>
      </w:r>
      <w:r>
        <w:rPr>
          <w:spacing w:val="-5"/>
          <w:position w:val="2"/>
        </w:rPr>
        <w:t>i.</w:t>
      </w:r>
    </w:p>
    <w:p>
      <w:pPr>
        <w:pStyle w:val="BodyText"/>
        <w:spacing w:before="224"/>
        <w:ind w:left="1705"/>
      </w:pPr>
      <w:r>
        <w:rPr>
          <w:rFonts w:ascii="Arial" w:hAnsi="Arial"/>
          <w:i/>
        </w:rPr>
        <w:t>HN</w:t>
      </w:r>
      <w:r>
        <w:rPr>
          <w:rFonts w:ascii="Arial" w:hAnsi="Arial"/>
          <w:i/>
          <w:spacing w:val="-5"/>
        </w:rPr>
        <w:t> </w:t>
      </w:r>
      <w:r>
        <w:rPr/>
        <w:t>es</w:t>
      </w:r>
      <w:r>
        <w:rPr>
          <w:spacing w:val="-4"/>
        </w:rPr>
        <w:t> </w:t>
      </w:r>
      <w:r>
        <w:rPr/>
        <w:t>el</w:t>
      </w:r>
      <w:r>
        <w:rPr>
          <w:spacing w:val="-6"/>
        </w:rPr>
        <w:t> </w:t>
      </w:r>
      <w:r>
        <w:rPr/>
        <w:t>número</w:t>
      </w:r>
      <w:r>
        <w:rPr>
          <w:spacing w:val="-5"/>
        </w:rPr>
        <w:t> </w:t>
      </w:r>
      <w:r>
        <w:rPr/>
        <w:t>de</w:t>
      </w:r>
      <w:r>
        <w:rPr>
          <w:spacing w:val="-4"/>
        </w:rPr>
        <w:t> </w:t>
      </w:r>
      <w:r>
        <w:rPr/>
        <w:t>habitantes</w:t>
      </w:r>
      <w:r>
        <w:rPr>
          <w:spacing w:val="-4"/>
        </w:rPr>
        <w:t> </w:t>
      </w:r>
      <w:r>
        <w:rPr/>
        <w:t>entre</w:t>
      </w:r>
      <w:r>
        <w:rPr>
          <w:spacing w:val="-5"/>
        </w:rPr>
        <w:t> </w:t>
      </w:r>
      <w:r>
        <w:rPr/>
        <w:t>5</w:t>
      </w:r>
      <w:r>
        <w:rPr>
          <w:spacing w:val="-1"/>
        </w:rPr>
        <w:t> </w:t>
      </w:r>
      <w:r>
        <w:rPr/>
        <w:t>y</w:t>
      </w:r>
      <w:r>
        <w:rPr>
          <w:spacing w:val="-7"/>
        </w:rPr>
        <w:t> </w:t>
      </w:r>
      <w:r>
        <w:rPr/>
        <w:t>14</w:t>
      </w:r>
      <w:r>
        <w:rPr>
          <w:spacing w:val="-5"/>
        </w:rPr>
        <w:t> </w:t>
      </w:r>
      <w:r>
        <w:rPr/>
        <w:t>años</w:t>
      </w:r>
      <w:r>
        <w:rPr>
          <w:spacing w:val="-4"/>
        </w:rPr>
        <w:t> </w:t>
      </w:r>
      <w:r>
        <w:rPr/>
        <w:t>del</w:t>
      </w:r>
      <w:r>
        <w:rPr>
          <w:spacing w:val="-4"/>
        </w:rPr>
        <w:t> país.</w:t>
      </w:r>
    </w:p>
    <w:p>
      <w:pPr>
        <w:spacing w:before="1"/>
        <w:ind w:left="41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21-12-2007,</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 w:right="150" w:firstLine="288"/>
        <w:jc w:val="both"/>
      </w:pPr>
      <w:bookmarkStart w:name="Artículo_27_A" w:id="42"/>
      <w:bookmarkEnd w:id="42"/>
      <w:r>
        <w:rPr/>
      </w:r>
      <w:r>
        <w:rPr>
          <w:rFonts w:ascii="Arial" w:hAnsi="Arial"/>
          <w:b/>
        </w:rPr>
        <w:t>Artículo 27-A.- </w:t>
      </w:r>
      <w:r>
        <w:rPr/>
        <w:t>El Ejecutivo Federal y los gobiernos de las entidades federativas, conforme a lo dispuesto en el artículo 25 de la Ley</w:t>
      </w:r>
      <w:r>
        <w:rPr>
          <w:spacing w:val="-2"/>
        </w:rPr>
        <w:t> </w:t>
      </w:r>
      <w:r>
        <w:rPr/>
        <w:t>General de Educación, concurrirán en el financiamiento del gasto en servicios personales para la educación pública, conforme a lo siguiente:</w:t>
      </w:r>
    </w:p>
    <w:p>
      <w:pPr>
        <w:pStyle w:val="BodyText"/>
        <w:spacing w:after="0"/>
        <w:jc w:val="both"/>
        <w:sectPr>
          <w:pgSz w:w="12250" w:h="15850"/>
          <w:pgMar w:header="724" w:footer="712" w:top="1880" w:bottom="900" w:left="1417" w:right="1275"/>
        </w:sectPr>
      </w:pPr>
    </w:p>
    <w:p>
      <w:pPr>
        <w:pStyle w:val="BodyText"/>
        <w:spacing w:before="65"/>
      </w:pPr>
    </w:p>
    <w:p>
      <w:pPr>
        <w:pStyle w:val="ListParagraph"/>
        <w:numPr>
          <w:ilvl w:val="0"/>
          <w:numId w:val="10"/>
        </w:numPr>
        <w:tabs>
          <w:tab w:pos="1009" w:val="left" w:leader="none"/>
        </w:tabs>
        <w:spacing w:line="242" w:lineRule="auto" w:before="0" w:after="0"/>
        <w:ind w:left="1009" w:right="151" w:hanging="720"/>
        <w:jc w:val="both"/>
        <w:rPr>
          <w:sz w:val="20"/>
        </w:rPr>
      </w:pPr>
      <w:r>
        <w:rPr>
          <w:sz w:val="20"/>
        </w:rPr>
        <w:t>El Ejecutivo Federal proveerá los recursos necesarios para cubrir los pagos de servicios personales a que se refieren los artículos 26, 26-A y 43 de esta Ley;</w:t>
      </w:r>
    </w:p>
    <w:p>
      <w:pPr>
        <w:pStyle w:val="ListParagraph"/>
        <w:numPr>
          <w:ilvl w:val="0"/>
          <w:numId w:val="10"/>
        </w:numPr>
        <w:tabs>
          <w:tab w:pos="1006" w:val="left" w:leader="none"/>
          <w:tab w:pos="1009" w:val="left" w:leader="none"/>
        </w:tabs>
        <w:spacing w:line="242" w:lineRule="auto" w:before="224" w:after="0"/>
        <w:ind w:left="1009" w:right="149" w:hanging="720"/>
        <w:jc w:val="both"/>
        <w:rPr>
          <w:sz w:val="20"/>
        </w:rPr>
      </w:pPr>
      <w:r>
        <w:rPr>
          <w:sz w:val="20"/>
        </w:rPr>
        <w:t>Los gobiernos de las entidades federativas cubrirán, con cargo a sus propios ingresos, las erogaciones en materia de servicios personales de las plazas distintas a las señaladas en la fracción</w:t>
      </w:r>
      <w:r>
        <w:rPr>
          <w:spacing w:val="-2"/>
          <w:sz w:val="20"/>
        </w:rPr>
        <w:t> </w:t>
      </w:r>
      <w:r>
        <w:rPr>
          <w:sz w:val="20"/>
        </w:rPr>
        <w:t>anterior, incluyendo</w:t>
      </w:r>
      <w:r>
        <w:rPr>
          <w:spacing w:val="-1"/>
          <w:sz w:val="20"/>
        </w:rPr>
        <w:t> </w:t>
      </w:r>
      <w:r>
        <w:rPr>
          <w:sz w:val="20"/>
        </w:rPr>
        <w:t>el incremento</w:t>
      </w:r>
      <w:r>
        <w:rPr>
          <w:spacing w:val="-1"/>
          <w:sz w:val="20"/>
        </w:rPr>
        <w:t> </w:t>
      </w:r>
      <w:r>
        <w:rPr>
          <w:sz w:val="20"/>
        </w:rPr>
        <w:t>salarial y</w:t>
      </w:r>
      <w:r>
        <w:rPr>
          <w:spacing w:val="-4"/>
          <w:sz w:val="20"/>
        </w:rPr>
        <w:t> </w:t>
      </w:r>
      <w:r>
        <w:rPr>
          <w:sz w:val="20"/>
        </w:rPr>
        <w:t>de</w:t>
      </w:r>
      <w:r>
        <w:rPr>
          <w:spacing w:val="-1"/>
          <w:sz w:val="20"/>
        </w:rPr>
        <w:t> </w:t>
      </w:r>
      <w:r>
        <w:rPr>
          <w:sz w:val="20"/>
        </w:rPr>
        <w:t>prestaciones</w:t>
      </w:r>
      <w:r>
        <w:rPr>
          <w:spacing w:val="-1"/>
          <w:sz w:val="20"/>
        </w:rPr>
        <w:t> </w:t>
      </w:r>
      <w:r>
        <w:rPr>
          <w:sz w:val="20"/>
        </w:rPr>
        <w:t>correspondiente a dichas </w:t>
      </w:r>
      <w:r>
        <w:rPr>
          <w:spacing w:val="-2"/>
          <w:sz w:val="20"/>
        </w:rPr>
        <w:t>plazas;</w:t>
      </w:r>
    </w:p>
    <w:p>
      <w:pPr>
        <w:pStyle w:val="ListParagraph"/>
        <w:numPr>
          <w:ilvl w:val="0"/>
          <w:numId w:val="10"/>
        </w:numPr>
        <w:tabs>
          <w:tab w:pos="1005" w:val="left" w:leader="none"/>
          <w:tab w:pos="1009" w:val="left" w:leader="none"/>
        </w:tabs>
        <w:spacing w:line="242" w:lineRule="auto" w:before="221" w:after="0"/>
        <w:ind w:left="1009" w:right="152" w:hanging="720"/>
        <w:jc w:val="both"/>
        <w:rPr>
          <w:sz w:val="20"/>
        </w:rPr>
      </w:pPr>
      <w:r>
        <w:rPr>
          <w:sz w:val="20"/>
        </w:rPr>
        <w:t>Los incrementos en las remuneraciones del personal que ocupa las plazas a que se refieren los artículos 26 y 26-A de esta Ley, serán acordados con base en:</w:t>
      </w:r>
    </w:p>
    <w:p>
      <w:pPr>
        <w:pStyle w:val="ListParagraph"/>
        <w:numPr>
          <w:ilvl w:val="1"/>
          <w:numId w:val="10"/>
        </w:numPr>
        <w:tabs>
          <w:tab w:pos="1439" w:val="left" w:leader="none"/>
          <w:tab w:pos="1441" w:val="left" w:leader="none"/>
        </w:tabs>
        <w:spacing w:line="242" w:lineRule="auto" w:before="227" w:after="0"/>
        <w:ind w:left="1441" w:right="149" w:hanging="432"/>
        <w:jc w:val="both"/>
        <w:rPr>
          <w:sz w:val="20"/>
        </w:rPr>
      </w:pPr>
      <w:r>
        <w:rPr>
          <w:sz w:val="20"/>
        </w:rPr>
        <w:t>La disponibilidad de recursos públicos aprobada en el Presupuesto de Egresos de la </w:t>
      </w:r>
      <w:r>
        <w:rPr>
          <w:spacing w:val="-2"/>
          <w:sz w:val="20"/>
        </w:rPr>
        <w:t>Federación;</w:t>
      </w:r>
    </w:p>
    <w:p>
      <w:pPr>
        <w:pStyle w:val="ListParagraph"/>
        <w:numPr>
          <w:ilvl w:val="1"/>
          <w:numId w:val="10"/>
        </w:numPr>
        <w:tabs>
          <w:tab w:pos="1441" w:val="left" w:leader="none"/>
        </w:tabs>
        <w:spacing w:line="240" w:lineRule="auto" w:before="224" w:after="0"/>
        <w:ind w:left="1441" w:right="0" w:hanging="432"/>
        <w:jc w:val="left"/>
        <w:rPr>
          <w:sz w:val="20"/>
        </w:rPr>
      </w:pPr>
      <w:r>
        <w:rPr>
          <w:sz w:val="20"/>
        </w:rPr>
        <w:t>Los</w:t>
      </w:r>
      <w:r>
        <w:rPr>
          <w:spacing w:val="-8"/>
          <w:sz w:val="20"/>
        </w:rPr>
        <w:t> </w:t>
      </w:r>
      <w:r>
        <w:rPr>
          <w:sz w:val="20"/>
        </w:rPr>
        <w:t>objetivos,</w:t>
      </w:r>
      <w:r>
        <w:rPr>
          <w:spacing w:val="-9"/>
          <w:sz w:val="20"/>
        </w:rPr>
        <w:t> </w:t>
      </w:r>
      <w:r>
        <w:rPr>
          <w:sz w:val="20"/>
        </w:rPr>
        <w:t>metas</w:t>
      </w:r>
      <w:r>
        <w:rPr>
          <w:spacing w:val="-6"/>
          <w:sz w:val="20"/>
        </w:rPr>
        <w:t> </w:t>
      </w:r>
      <w:r>
        <w:rPr>
          <w:sz w:val="20"/>
        </w:rPr>
        <w:t>y</w:t>
      </w:r>
      <w:r>
        <w:rPr>
          <w:spacing w:val="-11"/>
          <w:sz w:val="20"/>
        </w:rPr>
        <w:t> </w:t>
      </w:r>
      <w:r>
        <w:rPr>
          <w:sz w:val="20"/>
        </w:rPr>
        <w:t>resultados</w:t>
      </w:r>
      <w:r>
        <w:rPr>
          <w:spacing w:val="-7"/>
          <w:sz w:val="20"/>
        </w:rPr>
        <w:t> </w:t>
      </w:r>
      <w:r>
        <w:rPr>
          <w:sz w:val="20"/>
        </w:rPr>
        <w:t>alcanzados</w:t>
      </w:r>
      <w:r>
        <w:rPr>
          <w:spacing w:val="-6"/>
          <w:sz w:val="20"/>
        </w:rPr>
        <w:t> </w:t>
      </w:r>
      <w:r>
        <w:rPr>
          <w:sz w:val="20"/>
        </w:rPr>
        <w:t>del</w:t>
      </w:r>
      <w:r>
        <w:rPr>
          <w:spacing w:val="-10"/>
          <w:sz w:val="20"/>
        </w:rPr>
        <w:t> </w:t>
      </w:r>
      <w:r>
        <w:rPr>
          <w:sz w:val="20"/>
        </w:rPr>
        <w:t>Servicio</w:t>
      </w:r>
      <w:r>
        <w:rPr>
          <w:spacing w:val="-8"/>
          <w:sz w:val="20"/>
        </w:rPr>
        <w:t> </w:t>
      </w:r>
      <w:r>
        <w:rPr>
          <w:sz w:val="20"/>
        </w:rPr>
        <w:t>Profesional</w:t>
      </w:r>
      <w:r>
        <w:rPr>
          <w:spacing w:val="-10"/>
          <w:sz w:val="20"/>
        </w:rPr>
        <w:t> </w:t>
      </w:r>
      <w:r>
        <w:rPr>
          <w:sz w:val="20"/>
        </w:rPr>
        <w:t>Docente,</w:t>
      </w:r>
      <w:r>
        <w:rPr>
          <w:spacing w:val="-5"/>
          <w:sz w:val="20"/>
        </w:rPr>
        <w:t> </w:t>
      </w:r>
      <w:r>
        <w:rPr>
          <w:spacing w:val="-10"/>
          <w:sz w:val="20"/>
        </w:rPr>
        <w:t>y</w:t>
      </w:r>
    </w:p>
    <w:p>
      <w:pPr>
        <w:pStyle w:val="BodyText"/>
        <w:spacing w:before="1"/>
      </w:pPr>
    </w:p>
    <w:p>
      <w:pPr>
        <w:pStyle w:val="ListParagraph"/>
        <w:numPr>
          <w:ilvl w:val="1"/>
          <w:numId w:val="10"/>
        </w:numPr>
        <w:tabs>
          <w:tab w:pos="1439" w:val="left" w:leader="none"/>
          <w:tab w:pos="1441" w:val="left" w:leader="none"/>
        </w:tabs>
        <w:spacing w:line="240" w:lineRule="auto" w:before="0" w:after="0"/>
        <w:ind w:left="1441" w:right="142" w:hanging="432"/>
        <w:jc w:val="both"/>
        <w:rPr>
          <w:sz w:val="20"/>
        </w:rPr>
      </w:pPr>
      <w:r>
        <w:rPr>
          <w:sz w:val="20"/>
        </w:rPr>
        <w:t>La negociación del incremento en remuneraciones, la cual se llevará a cabo por parte de los patrones, por una representación de las autoridades educativas de las entidades federativas; por parte de los trabajadores, una representación de su sindicato, en términos de la legislación laboral; así como con la participación de la Secretaría de Educación Pública para efectos del financiamiento que corresponde a la Federación en los términos de los artículos 26 y 26-A de esta Ley y para vigilar su consistencia con los objetivos del Servicio Profesional Docente.</w:t>
      </w:r>
    </w:p>
    <w:p>
      <w:pPr>
        <w:pStyle w:val="BodyText"/>
        <w:spacing w:before="3"/>
      </w:pPr>
    </w:p>
    <w:p>
      <w:pPr>
        <w:pStyle w:val="BodyText"/>
        <w:ind w:left="1009" w:right="147"/>
        <w:jc w:val="both"/>
      </w:pPr>
      <w:r>
        <w:rPr/>
        <w:t>El incremento en remuneraciones que, en su caso, se acuerde, aplicable al personal a que se refiere esta fracción, deberá publicarse en el Diario Oficial de la Federación para que</w:t>
      </w:r>
      <w:r>
        <w:rPr>
          <w:spacing w:val="40"/>
        </w:rPr>
        <w:t> </w:t>
      </w:r>
      <w:r>
        <w:rPr/>
        <w:t>produzca sus efectos, así como en los medios oficiales de difusión de las entidades federativas, y</w:t>
      </w:r>
    </w:p>
    <w:p>
      <w:pPr>
        <w:pStyle w:val="ListParagraph"/>
        <w:numPr>
          <w:ilvl w:val="0"/>
          <w:numId w:val="10"/>
        </w:numPr>
        <w:tabs>
          <w:tab w:pos="1009" w:val="left" w:leader="none"/>
        </w:tabs>
        <w:spacing w:line="240" w:lineRule="auto" w:before="228" w:after="0"/>
        <w:ind w:left="1009" w:right="142" w:hanging="720"/>
        <w:jc w:val="both"/>
        <w:rPr>
          <w:sz w:val="20"/>
        </w:rPr>
      </w:pPr>
      <w:r>
        <w:rPr>
          <w:sz w:val="20"/>
        </w:rPr>
        <w:t>La Secretaría de Educación Pública y las autoridades educativas de las entidades federativas darán acceso al sistema establecido para el registro del personal educativo, para efectos de consulta, a las instancias locales y federales de control, evaluación y fiscalización que así lo soliciten. La información se hará pública en términos de las disposiciones aplicables en materia de transparencia y rendición de cuentas.</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4"/>
        <w:rPr>
          <w:rFonts w:ascii="Times New Roman"/>
          <w:i/>
          <w:sz w:val="16"/>
        </w:rPr>
      </w:pPr>
    </w:p>
    <w:p>
      <w:pPr>
        <w:pStyle w:val="BodyText"/>
        <w:spacing w:line="242" w:lineRule="auto" w:before="1"/>
        <w:ind w:left="1" w:right="142" w:firstLine="288"/>
        <w:jc w:val="both"/>
      </w:pPr>
      <w:bookmarkStart w:name="Artículo_28" w:id="43"/>
      <w:bookmarkEnd w:id="43"/>
      <w:r>
        <w:rPr/>
      </w:r>
      <w:r>
        <w:rPr>
          <w:rFonts w:ascii="Arial" w:hAnsi="Arial"/>
          <w:b/>
        </w:rPr>
        <w:t>Artículo 28.- </w:t>
      </w:r>
      <w:r>
        <w:rPr/>
        <w:t>Las autoridades federales y de las entidades federativas, tanto en materia educativa como las responsables del ejercicio presupuestario, se reunirán con una periodicidad no mayor de un</w:t>
      </w:r>
      <w:r>
        <w:rPr>
          <w:spacing w:val="40"/>
        </w:rPr>
        <w:t> </w:t>
      </w:r>
      <w:r>
        <w:rPr/>
        <w:t>año, con el fin de analizar alternativas y propuestas que apoyen una mayor equidad e impulsen la mejor utilización</w:t>
      </w:r>
      <w:r>
        <w:rPr>
          <w:spacing w:val="-3"/>
        </w:rPr>
        <w:t> </w:t>
      </w:r>
      <w:r>
        <w:rPr/>
        <w:t>de los</w:t>
      </w:r>
      <w:r>
        <w:rPr>
          <w:spacing w:val="-1"/>
        </w:rPr>
        <w:t> </w:t>
      </w:r>
      <w:r>
        <w:rPr/>
        <w:t>recursos</w:t>
      </w:r>
      <w:r>
        <w:rPr>
          <w:spacing w:val="-1"/>
        </w:rPr>
        <w:t> </w:t>
      </w:r>
      <w:r>
        <w:rPr/>
        <w:t>transferidos</w:t>
      </w:r>
      <w:r>
        <w:rPr>
          <w:spacing w:val="-1"/>
        </w:rPr>
        <w:t> </w:t>
      </w:r>
      <w:r>
        <w:rPr/>
        <w:t>a</w:t>
      </w:r>
      <w:r>
        <w:rPr>
          <w:spacing w:val="-2"/>
        </w:rPr>
        <w:t> </w:t>
      </w:r>
      <w:r>
        <w:rPr/>
        <w:t>las</w:t>
      </w:r>
      <w:r>
        <w:rPr>
          <w:spacing w:val="-1"/>
        </w:rPr>
        <w:t> </w:t>
      </w:r>
      <w:r>
        <w:rPr/>
        <w:t>entidades federativas</w:t>
      </w:r>
      <w:r>
        <w:rPr>
          <w:spacing w:val="-1"/>
        </w:rPr>
        <w:t> </w:t>
      </w:r>
      <w:r>
        <w:rPr/>
        <w:t>para</w:t>
      </w:r>
      <w:r>
        <w:rPr>
          <w:spacing w:val="-2"/>
        </w:rPr>
        <w:t> </w:t>
      </w:r>
      <w:r>
        <w:rPr/>
        <w:t>la</w:t>
      </w:r>
      <w:r>
        <w:rPr>
          <w:spacing w:val="-2"/>
        </w:rPr>
        <w:t> </w:t>
      </w:r>
      <w:r>
        <w:rPr/>
        <w:t>educación</w:t>
      </w:r>
      <w:r>
        <w:rPr>
          <w:spacing w:val="-3"/>
        </w:rPr>
        <w:t> </w:t>
      </w:r>
      <w:r>
        <w:rPr/>
        <w:t>básica y,</w:t>
      </w:r>
      <w:r>
        <w:rPr>
          <w:spacing w:val="-2"/>
        </w:rPr>
        <w:t> </w:t>
      </w:r>
      <w:r>
        <w:rPr/>
        <w:t>en</w:t>
      </w:r>
      <w:r>
        <w:rPr>
          <w:spacing w:val="-3"/>
        </w:rPr>
        <w:t> </w:t>
      </w:r>
      <w:r>
        <w:rPr/>
        <w:t>su</w:t>
      </w:r>
      <w:r>
        <w:rPr>
          <w:spacing w:val="-2"/>
        </w:rPr>
        <w:t> </w:t>
      </w:r>
      <w:r>
        <w:rPr/>
        <w:t>caso, </w:t>
      </w:r>
      <w:r>
        <w:rPr>
          <w:spacing w:val="-2"/>
        </w:rPr>
        <w:t>normal.</w:t>
      </w:r>
    </w:p>
    <w:p>
      <w:pPr>
        <w:pStyle w:val="BodyText"/>
        <w:spacing w:before="221"/>
        <w:ind w:left="1" w:right="151" w:firstLine="288"/>
        <w:jc w:val="both"/>
      </w:pPr>
      <w:r>
        <w:rPr/>
        <w:t>Para tal efecto, los gobiernos estatales y del Distrito Federal proporcionarán al Ejecutivo Federal a través de la Secretaría de Educación Pública, la información financiera y operativa que les sea requerida para el mejor cumplimiento de las atribuciones que en materia de planeación, programación y evaluación del Sistema Educativo Nacional, correspondan a la Federación.</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w:t>
      </w:r>
      <w:r>
        <w:rPr>
          <w:rFonts w:ascii="Times New Roman" w:hAnsi="Times New Roman"/>
          <w:i/>
          <w:color w:val="0000FF"/>
          <w:spacing w:val="-4"/>
          <w:sz w:val="16"/>
        </w:rPr>
        <w:t>1997</w:t>
      </w:r>
    </w:p>
    <w:p>
      <w:pPr>
        <w:pStyle w:val="BodyText"/>
        <w:spacing w:before="45"/>
        <w:rPr>
          <w:rFonts w:ascii="Times New Roman"/>
          <w:i/>
          <w:sz w:val="16"/>
        </w:rPr>
      </w:pPr>
    </w:p>
    <w:p>
      <w:pPr>
        <w:pStyle w:val="BodyText"/>
        <w:ind w:left="1" w:right="142" w:firstLine="288"/>
        <w:jc w:val="both"/>
      </w:pPr>
      <w:bookmarkStart w:name="Artículo_29" w:id="44"/>
      <w:bookmarkEnd w:id="44"/>
      <w:r>
        <w:rPr/>
      </w:r>
      <w:r>
        <w:rPr>
          <w:rFonts w:ascii="Arial" w:hAnsi="Arial"/>
          <w:b/>
        </w:rPr>
        <w:t>Artículo 29.- </w:t>
      </w:r>
      <w:r>
        <w:rPr/>
        <w:t>Con cargo a las aportaciones que del Fondo de Aportaciones para los Servicios de</w:t>
      </w:r>
      <w:r>
        <w:rPr>
          <w:spacing w:val="40"/>
        </w:rPr>
        <w:t> </w:t>
      </w:r>
      <w:r>
        <w:rPr/>
        <w:t>Salud les correspondan a las entidades federativas que no suscriban el convenio previsto en el artículo</w:t>
      </w:r>
      <w:r>
        <w:rPr>
          <w:spacing w:val="40"/>
        </w:rPr>
        <w:t> </w:t>
      </w:r>
      <w:r>
        <w:rPr/>
        <w:t>77 bis 16 A de la Ley General de Salud con Servicios de Salud del Instituto Mexicano del Seguro Social para el Bienestar (IMSS-BIENESTAR), ejercerán las atribuciones que en términos de la Ley General de Salud les competan. Asimismo, dicho Fondo será aplicable para las entidades federativas que suscriban</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pPr>
      <w:r>
        <w:rPr/>
        <w:t>o hayan suscrito el referido convenio de coordinación, en términos de lo señalado en el último párrafo del artículo 25 de esta Ley.</w:t>
      </w:r>
    </w:p>
    <w:p>
      <w:pPr>
        <w:spacing w:line="181" w:lineRule="exact" w:before="0"/>
        <w:ind w:left="502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ind w:left="1" w:right="141" w:firstLine="288"/>
        <w:jc w:val="both"/>
      </w:pPr>
      <w:bookmarkStart w:name="Artículo_30" w:id="45"/>
      <w:bookmarkEnd w:id="45"/>
      <w:r>
        <w:rPr/>
      </w:r>
      <w:r>
        <w:rPr>
          <w:rFonts w:ascii="Arial" w:hAnsi="Arial"/>
          <w:b/>
        </w:rPr>
        <w:t>Artículo 30.- </w:t>
      </w:r>
      <w:r>
        <w:rPr/>
        <w:t>El monto del Fondo de Aportaciones para los Servicios de Salud se determinará cada año en el Presupuesto de Egresos de la Federación correspondiente, exclusivamente a partir de los siguientes elementos:</w:t>
      </w:r>
    </w:p>
    <w:p>
      <w:pPr>
        <w:pStyle w:val="ListParagraph"/>
        <w:numPr>
          <w:ilvl w:val="0"/>
          <w:numId w:val="11"/>
        </w:numPr>
        <w:tabs>
          <w:tab w:pos="856" w:val="left" w:leader="none"/>
          <w:tab w:pos="858" w:val="left" w:leader="none"/>
        </w:tabs>
        <w:spacing w:line="242" w:lineRule="auto" w:before="222" w:after="0"/>
        <w:ind w:left="858" w:right="143" w:hanging="569"/>
        <w:jc w:val="both"/>
        <w:rPr>
          <w:sz w:val="20"/>
        </w:rPr>
      </w:pPr>
      <w:r>
        <w:rPr>
          <w:sz w:val="20"/>
        </w:rPr>
        <w:t>Por el inventario de infraestructura médica y las plantillas de personal, utilizados para los cálculos de los recursos presupuestarios transferidos a las entidades federativas, con</w:t>
      </w:r>
      <w:r>
        <w:rPr>
          <w:spacing w:val="-3"/>
          <w:sz w:val="20"/>
        </w:rPr>
        <w:t> </w:t>
      </w:r>
      <w:r>
        <w:rPr>
          <w:sz w:val="20"/>
        </w:rPr>
        <w:t>motivo de la suscripción de los Acuerdos de Coordinación para la Descentralización Integral de los Servicios de Salud respectivos, incluyendo las erogaciones que correspondan por concepto de impuestos federales y aportaciones de seguridad social;</w:t>
      </w:r>
    </w:p>
    <w:p>
      <w:pPr>
        <w:pStyle w:val="ListParagraph"/>
        <w:numPr>
          <w:ilvl w:val="0"/>
          <w:numId w:val="11"/>
        </w:numPr>
        <w:tabs>
          <w:tab w:pos="855" w:val="left" w:leader="none"/>
          <w:tab w:pos="858" w:val="left" w:leader="none"/>
        </w:tabs>
        <w:spacing w:line="240" w:lineRule="auto" w:before="220" w:after="0"/>
        <w:ind w:left="858" w:right="140" w:hanging="569"/>
        <w:jc w:val="both"/>
        <w:rPr>
          <w:sz w:val="20"/>
        </w:rPr>
      </w:pPr>
      <w:r>
        <w:rPr>
          <w:sz w:val="20"/>
        </w:rPr>
        <w:t>Por</w:t>
      </w:r>
      <w:r>
        <w:rPr>
          <w:spacing w:val="-4"/>
          <w:sz w:val="20"/>
        </w:rPr>
        <w:t> </w:t>
      </w:r>
      <w:r>
        <w:rPr>
          <w:sz w:val="20"/>
        </w:rPr>
        <w:t>los</w:t>
      </w:r>
      <w:r>
        <w:rPr>
          <w:spacing w:val="-3"/>
          <w:sz w:val="20"/>
        </w:rPr>
        <w:t> </w:t>
      </w:r>
      <w:r>
        <w:rPr>
          <w:sz w:val="20"/>
        </w:rPr>
        <w:t>recursos</w:t>
      </w:r>
      <w:r>
        <w:rPr>
          <w:spacing w:val="-3"/>
          <w:sz w:val="20"/>
        </w:rPr>
        <w:t> </w:t>
      </w:r>
      <w:r>
        <w:rPr>
          <w:sz w:val="20"/>
        </w:rPr>
        <w:t>que</w:t>
      </w:r>
      <w:r>
        <w:rPr>
          <w:spacing w:val="-2"/>
          <w:sz w:val="20"/>
        </w:rPr>
        <w:t> </w:t>
      </w:r>
      <w:r>
        <w:rPr>
          <w:sz w:val="20"/>
        </w:rPr>
        <w:t>con</w:t>
      </w:r>
      <w:r>
        <w:rPr>
          <w:spacing w:val="-5"/>
          <w:sz w:val="20"/>
        </w:rPr>
        <w:t> </w:t>
      </w:r>
      <w:r>
        <w:rPr>
          <w:sz w:val="20"/>
        </w:rPr>
        <w:t>cargo</w:t>
      </w:r>
      <w:r>
        <w:rPr>
          <w:spacing w:val="-4"/>
          <w:sz w:val="20"/>
        </w:rPr>
        <w:t> </w:t>
      </w:r>
      <w:r>
        <w:rPr>
          <w:sz w:val="20"/>
        </w:rPr>
        <w:t>a</w:t>
      </w:r>
      <w:r>
        <w:rPr>
          <w:spacing w:val="-2"/>
          <w:sz w:val="20"/>
        </w:rPr>
        <w:t> </w:t>
      </w:r>
      <w:r>
        <w:rPr>
          <w:sz w:val="20"/>
        </w:rPr>
        <w:t>las</w:t>
      </w:r>
      <w:r>
        <w:rPr>
          <w:spacing w:val="-1"/>
          <w:sz w:val="20"/>
        </w:rPr>
        <w:t> </w:t>
      </w:r>
      <w:r>
        <w:rPr>
          <w:sz w:val="20"/>
        </w:rPr>
        <w:t>Previsiones</w:t>
      </w:r>
      <w:r>
        <w:rPr>
          <w:spacing w:val="-1"/>
          <w:sz w:val="20"/>
        </w:rPr>
        <w:t> </w:t>
      </w:r>
      <w:r>
        <w:rPr>
          <w:sz w:val="20"/>
        </w:rPr>
        <w:t>para</w:t>
      </w:r>
      <w:r>
        <w:rPr>
          <w:spacing w:val="-2"/>
          <w:sz w:val="20"/>
        </w:rPr>
        <w:t> </w:t>
      </w:r>
      <w:r>
        <w:rPr>
          <w:sz w:val="20"/>
        </w:rPr>
        <w:t>Servicios</w:t>
      </w:r>
      <w:r>
        <w:rPr>
          <w:spacing w:val="-3"/>
          <w:sz w:val="20"/>
        </w:rPr>
        <w:t> </w:t>
      </w:r>
      <w:r>
        <w:rPr>
          <w:sz w:val="20"/>
        </w:rPr>
        <w:t>Personales contenidas</w:t>
      </w:r>
      <w:r>
        <w:rPr>
          <w:spacing w:val="-3"/>
          <w:sz w:val="20"/>
        </w:rPr>
        <w:t> </w:t>
      </w:r>
      <w:r>
        <w:rPr>
          <w:sz w:val="20"/>
        </w:rPr>
        <w:t>al</w:t>
      </w:r>
      <w:r>
        <w:rPr>
          <w:spacing w:val="-5"/>
          <w:sz w:val="20"/>
        </w:rPr>
        <w:t> </w:t>
      </w:r>
      <w:r>
        <w:rPr>
          <w:sz w:val="20"/>
        </w:rPr>
        <w:t>efecto en el Presupuesto de Egresos de la Federación que se hayan transferido a las entidades federativas,</w:t>
      </w:r>
      <w:r>
        <w:rPr>
          <w:spacing w:val="-1"/>
          <w:sz w:val="20"/>
        </w:rPr>
        <w:t> </w:t>
      </w:r>
      <w:r>
        <w:rPr>
          <w:sz w:val="20"/>
        </w:rPr>
        <w:t>durante el</w:t>
      </w:r>
      <w:r>
        <w:rPr>
          <w:spacing w:val="-2"/>
          <w:sz w:val="20"/>
        </w:rPr>
        <w:t> </w:t>
      </w:r>
      <w:r>
        <w:rPr>
          <w:sz w:val="20"/>
        </w:rPr>
        <w:t>ejercicio</w:t>
      </w:r>
      <w:r>
        <w:rPr>
          <w:spacing w:val="-1"/>
          <w:sz w:val="20"/>
        </w:rPr>
        <w:t> </w:t>
      </w:r>
      <w:r>
        <w:rPr>
          <w:sz w:val="20"/>
        </w:rPr>
        <w:t>fiscal</w:t>
      </w:r>
      <w:r>
        <w:rPr>
          <w:spacing w:val="-2"/>
          <w:sz w:val="20"/>
        </w:rPr>
        <w:t> </w:t>
      </w:r>
      <w:r>
        <w:rPr>
          <w:sz w:val="20"/>
        </w:rPr>
        <w:t>inmediato</w:t>
      </w:r>
      <w:r>
        <w:rPr>
          <w:spacing w:val="-1"/>
          <w:sz w:val="20"/>
        </w:rPr>
        <w:t> </w:t>
      </w:r>
      <w:r>
        <w:rPr>
          <w:sz w:val="20"/>
        </w:rPr>
        <w:t>anterior a</w:t>
      </w:r>
      <w:r>
        <w:rPr>
          <w:spacing w:val="-1"/>
          <w:sz w:val="20"/>
        </w:rPr>
        <w:t> </w:t>
      </w:r>
      <w:r>
        <w:rPr>
          <w:sz w:val="20"/>
        </w:rPr>
        <w:t>aquel</w:t>
      </w:r>
      <w:r>
        <w:rPr>
          <w:spacing w:val="-2"/>
          <w:sz w:val="20"/>
        </w:rPr>
        <w:t> </w:t>
      </w:r>
      <w:r>
        <w:rPr>
          <w:sz w:val="20"/>
        </w:rPr>
        <w:t>que</w:t>
      </w:r>
      <w:r>
        <w:rPr>
          <w:spacing w:val="-2"/>
          <w:sz w:val="20"/>
        </w:rPr>
        <w:t> </w:t>
      </w:r>
      <w:r>
        <w:rPr>
          <w:sz w:val="20"/>
        </w:rPr>
        <w:t>se</w:t>
      </w:r>
      <w:r>
        <w:rPr>
          <w:spacing w:val="-1"/>
          <w:sz w:val="20"/>
        </w:rPr>
        <w:t> </w:t>
      </w:r>
      <w:r>
        <w:rPr>
          <w:sz w:val="20"/>
        </w:rPr>
        <w:t>presupueste,</w:t>
      </w:r>
      <w:r>
        <w:rPr>
          <w:spacing w:val="-1"/>
          <w:sz w:val="20"/>
        </w:rPr>
        <w:t> </w:t>
      </w:r>
      <w:r>
        <w:rPr>
          <w:sz w:val="20"/>
        </w:rPr>
        <w:t>para</w:t>
      </w:r>
      <w:r>
        <w:rPr>
          <w:spacing w:val="-1"/>
          <w:sz w:val="20"/>
        </w:rPr>
        <w:t> </w:t>
      </w:r>
      <w:r>
        <w:rPr>
          <w:sz w:val="20"/>
        </w:rPr>
        <w:t>cubrir el gasto en servicios personales, incluidas las ampliaciones presupuestarias que en el transcurso de ese ejercicio se hubieren autorizado por concepto de incrementos salariales, prestaciones, así como aquellas medidas económicas que, en su caso, se requieran para integrar el ejercicio fiscal que se presupueste;</w:t>
      </w:r>
    </w:p>
    <w:p>
      <w:pPr>
        <w:pStyle w:val="BodyText"/>
      </w:pPr>
    </w:p>
    <w:p>
      <w:pPr>
        <w:pStyle w:val="ListParagraph"/>
        <w:numPr>
          <w:ilvl w:val="0"/>
          <w:numId w:val="11"/>
        </w:numPr>
        <w:tabs>
          <w:tab w:pos="854" w:val="left" w:leader="none"/>
          <w:tab w:pos="858" w:val="left" w:leader="none"/>
        </w:tabs>
        <w:spacing w:line="240" w:lineRule="auto" w:before="1" w:after="0"/>
        <w:ind w:left="858" w:right="145" w:hanging="569"/>
        <w:jc w:val="both"/>
        <w:rPr>
          <w:sz w:val="20"/>
        </w:rPr>
      </w:pPr>
      <w:r>
        <w:rPr>
          <w:sz w:val="20"/>
        </w:rPr>
        <w:t>Por los recursos que la Federación haya transferido a las entidades federativas, durante el ejercicio fiscal inmediato anterior a aquel que se presupueste, para cubrir el gasto de operación e inversión, excluyendo los gastos eventuales de inversión en infraestructura y equipamiento que la Federación y las entidades correspondientes convengan como no susceptibles de presupuestarse en el ejercicio siguiente y por los recursos que para iguales fines sean aprobados en el Presupuesto de Egresos de la Federación en adición a los primeros; y</w:t>
      </w:r>
    </w:p>
    <w:p>
      <w:pPr>
        <w:pStyle w:val="BodyText"/>
      </w:pPr>
    </w:p>
    <w:p>
      <w:pPr>
        <w:pStyle w:val="ListParagraph"/>
        <w:numPr>
          <w:ilvl w:val="0"/>
          <w:numId w:val="11"/>
        </w:numPr>
        <w:tabs>
          <w:tab w:pos="858" w:val="left" w:leader="none"/>
        </w:tabs>
        <w:spacing w:line="240" w:lineRule="auto" w:before="1" w:after="0"/>
        <w:ind w:left="858" w:right="148" w:hanging="569"/>
        <w:jc w:val="both"/>
        <w:rPr>
          <w:sz w:val="20"/>
        </w:rPr>
      </w:pPr>
      <w:r>
        <w:rPr>
          <w:sz w:val="20"/>
        </w:rPr>
        <w:t>Por otros recursos que, en su caso, se destinen expresamente en el Presupuesto de Egresos</w:t>
      </w:r>
      <w:r>
        <w:rPr>
          <w:spacing w:val="40"/>
          <w:sz w:val="20"/>
        </w:rPr>
        <w:t> </w:t>
      </w:r>
      <w:r>
        <w:rPr>
          <w:sz w:val="20"/>
        </w:rPr>
        <w:t>de la Federación a fin de promover la equidad en los servicios de salud, mismos que serán distribuidos conforme a lo dispuesto en el artículo siguiente.</w:t>
      </w:r>
    </w:p>
    <w:p>
      <w:pPr>
        <w:pStyle w:val="BodyText"/>
        <w:spacing w:before="1"/>
      </w:pPr>
    </w:p>
    <w:p>
      <w:pPr>
        <w:pStyle w:val="BodyText"/>
        <w:ind w:left="1" w:right="143" w:firstLine="288"/>
        <w:jc w:val="both"/>
      </w:pPr>
      <w:r>
        <w:rPr/>
        <w:t>Para determinar cada año en el Presupuesto de Egresos de la Federación el monto del Fondo de Aportaciones para los Servicios de Salud, respecto de las entidades a que se refiere el artículo 25, último párrafo, de la presente Ley, no se deberán considerar como parte de los elementos a que se refiere el párrafo anterior, los recursos y, en su caso, las plazas que, durante los ejercicios fiscales anteriores a aquel que se presupueste, se hayan traspasado o transferido del Ramo General 33 a Servicios de Salud del Instituto Mexicano del Seguro Social para el Bienestar (IMSS-BIENESTAR) con motivo de los convenios de coordinación que celebre con las entidades federativas en términos del artículo 77 bis 16 A de la Ley General de Salud.</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03-01-</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 w:right="142" w:firstLine="288"/>
        <w:jc w:val="both"/>
      </w:pPr>
      <w:r>
        <w:rPr/>
        <w:t>El monto que corresponda a Servicios de Salud del Instituto Mexicano del Seguro Social para el Bienestar (IMSS-BIENESTAR) en términos de los convenios de coordinación que éste suscriba con las entidades federativas conforme a lo previsto en el artículo 77 bis 16 A de la Ley General de Salud, se asignará de origen en el Presupuesto de Egresos de la Federación a dicho organismo, salvo los montos que correspondan a lo previsto en el último párrafo del artículo 25 de esta Ley.</w:t>
      </w:r>
    </w:p>
    <w:p>
      <w:pPr>
        <w:spacing w:line="240" w:lineRule="auto" w:before="0"/>
        <w:ind w:left="6967" w:right="138"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03-01-2024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w:t>
      </w:r>
      <w:r>
        <w:rPr>
          <w:rFonts w:ascii="Times New Roman" w:hAnsi="Times New Roman"/>
          <w:i/>
          <w:color w:val="0000FF"/>
          <w:spacing w:val="-4"/>
          <w:sz w:val="16"/>
        </w:rPr>
        <w:t>1997</w:t>
      </w:r>
    </w:p>
    <w:p>
      <w:pPr>
        <w:spacing w:after="0" w:line="240" w:lineRule="auto"/>
        <w:jc w:val="right"/>
        <w:rPr>
          <w:rFonts w:ascii="Times New Roman" w:hAnsi="Times New Roman"/>
          <w:i/>
          <w:sz w:val="16"/>
        </w:rPr>
        <w:sectPr>
          <w:pgSz w:w="12250" w:h="15850"/>
          <w:pgMar w:header="724" w:footer="712" w:top="1880" w:bottom="900" w:left="1417" w:right="1275"/>
        </w:sectPr>
      </w:pPr>
    </w:p>
    <w:p>
      <w:pPr>
        <w:pStyle w:val="BodyText"/>
        <w:spacing w:before="65"/>
        <w:rPr>
          <w:rFonts w:ascii="Times New Roman"/>
          <w:i/>
        </w:rPr>
      </w:pPr>
    </w:p>
    <w:p>
      <w:pPr>
        <w:pStyle w:val="BodyText"/>
        <w:spacing w:line="242" w:lineRule="auto"/>
        <w:ind w:left="1" w:right="144" w:firstLine="288"/>
        <w:jc w:val="both"/>
      </w:pPr>
      <w:bookmarkStart w:name="Artículo_31" w:id="46"/>
      <w:bookmarkEnd w:id="46"/>
      <w:r>
        <w:rPr/>
      </w:r>
      <w:r>
        <w:rPr>
          <w:rFonts w:ascii="Arial" w:hAnsi="Arial"/>
          <w:b/>
        </w:rPr>
        <w:t>Artículo 31.- </w:t>
      </w:r>
      <w:r>
        <w:rPr/>
        <w:t>Para la distribución de los recursos a que</w:t>
      </w:r>
      <w:r>
        <w:rPr>
          <w:spacing w:val="-1"/>
        </w:rPr>
        <w:t> </w:t>
      </w:r>
      <w:r>
        <w:rPr/>
        <w:t>se</w:t>
      </w:r>
      <w:r>
        <w:rPr>
          <w:spacing w:val="-1"/>
        </w:rPr>
        <w:t> </w:t>
      </w:r>
      <w:r>
        <w:rPr/>
        <w:t>refiere la</w:t>
      </w:r>
      <w:r>
        <w:rPr>
          <w:spacing w:val="-1"/>
        </w:rPr>
        <w:t> </w:t>
      </w:r>
      <w:r>
        <w:rPr/>
        <w:t>fracción IV del</w:t>
      </w:r>
      <w:r>
        <w:rPr>
          <w:spacing w:val="-2"/>
        </w:rPr>
        <w:t> </w:t>
      </w:r>
      <w:r>
        <w:rPr/>
        <w:t>artículo anterior, se aplicará</w:t>
      </w:r>
      <w:r>
        <w:rPr>
          <w:spacing w:val="-2"/>
        </w:rPr>
        <w:t> </w:t>
      </w:r>
      <w:r>
        <w:rPr/>
        <w:t>la</w:t>
      </w:r>
      <w:r>
        <w:rPr>
          <w:spacing w:val="-2"/>
        </w:rPr>
        <w:t> </w:t>
      </w:r>
      <w:r>
        <w:rPr/>
        <w:t>siguiente</w:t>
      </w:r>
      <w:r>
        <w:rPr>
          <w:spacing w:val="-2"/>
        </w:rPr>
        <w:t> </w:t>
      </w:r>
      <w:r>
        <w:rPr/>
        <w:t>fórmula</w:t>
      </w:r>
      <w:r>
        <w:rPr>
          <w:spacing w:val="-4"/>
        </w:rPr>
        <w:t> </w:t>
      </w:r>
      <w:r>
        <w:rPr/>
        <w:t>de</w:t>
      </w:r>
      <w:r>
        <w:rPr>
          <w:spacing w:val="-2"/>
        </w:rPr>
        <w:t> </w:t>
      </w:r>
      <w:r>
        <w:rPr/>
        <w:t>asignación</w:t>
      </w:r>
      <w:r>
        <w:rPr>
          <w:spacing w:val="-2"/>
        </w:rPr>
        <w:t> </w:t>
      </w:r>
      <w:r>
        <w:rPr/>
        <w:t>de</w:t>
      </w:r>
      <w:r>
        <w:rPr>
          <w:spacing w:val="-2"/>
        </w:rPr>
        <w:t> </w:t>
      </w:r>
      <w:r>
        <w:rPr/>
        <w:t>recursos,</w:t>
      </w:r>
      <w:r>
        <w:rPr>
          <w:spacing w:val="-4"/>
        </w:rPr>
        <w:t> </w:t>
      </w:r>
      <w:r>
        <w:rPr/>
        <w:t>donde </w:t>
      </w:r>
      <w:r>
        <w:rPr>
          <w:rFonts w:ascii="Symbol" w:hAnsi="Symbol"/>
        </w:rPr>
        <w:t></w:t>
      </w:r>
      <w:r>
        <w:rPr>
          <w:rFonts w:ascii="Times New Roman" w:hAnsi="Times New Roman"/>
        </w:rPr>
        <w:t> </w:t>
      </w:r>
      <w:r>
        <w:rPr/>
        <w:t>representa</w:t>
      </w:r>
      <w:r>
        <w:rPr>
          <w:spacing w:val="-2"/>
        </w:rPr>
        <w:t> </w:t>
      </w:r>
      <w:r>
        <w:rPr/>
        <w:t>la</w:t>
      </w:r>
      <w:r>
        <w:rPr>
          <w:spacing w:val="-4"/>
        </w:rPr>
        <w:t> </w:t>
      </w:r>
      <w:r>
        <w:rPr/>
        <w:t>sumatoria</w:t>
      </w:r>
      <w:r>
        <w:rPr>
          <w:spacing w:val="-4"/>
        </w:rPr>
        <w:t> </w:t>
      </w:r>
      <w:r>
        <w:rPr/>
        <w:t>correspondiente a las entidades federativas y el subíndice i se refiere a la i-ésima entidad federativa.</w:t>
      </w:r>
    </w:p>
    <w:p>
      <w:pPr>
        <w:pStyle w:val="BodyText"/>
        <w:spacing w:before="227"/>
        <w:ind w:left="1156" w:right="1297"/>
        <w:jc w:val="center"/>
      </w:pPr>
      <w:r>
        <w:rPr>
          <w:rFonts w:ascii="Symbol" w:hAnsi="Symbol"/>
        </w:rPr>
        <w:t></w:t>
      </w:r>
      <w:r>
        <w:rPr/>
        <w:t>Fi</w:t>
      </w:r>
      <w:r>
        <w:rPr>
          <w:spacing w:val="-3"/>
        </w:rPr>
        <w:t> </w:t>
      </w:r>
      <w:r>
        <w:rPr/>
        <w:t>=</w:t>
      </w:r>
      <w:r>
        <w:rPr>
          <w:spacing w:val="-4"/>
        </w:rPr>
        <w:t> </w:t>
      </w:r>
      <w:r>
        <w:rPr>
          <w:rFonts w:ascii="Symbol" w:hAnsi="Symbol"/>
          <w:spacing w:val="-2"/>
        </w:rPr>
        <w:t></w:t>
      </w:r>
      <w:r>
        <w:rPr>
          <w:spacing w:val="-2"/>
        </w:rPr>
        <w:t>(M*Ti)</w:t>
      </w:r>
    </w:p>
    <w:p>
      <w:pPr>
        <w:pStyle w:val="BodyText"/>
        <w:spacing w:before="227"/>
        <w:ind w:left="580"/>
      </w:pPr>
      <w:r>
        <w:rPr/>
        <w:t>En</w:t>
      </w:r>
      <w:r>
        <w:rPr>
          <w:spacing w:val="-5"/>
        </w:rPr>
        <w:t> </w:t>
      </w:r>
      <w:r>
        <w:rPr>
          <w:spacing w:val="-2"/>
        </w:rPr>
        <w:t>donde:</w:t>
      </w:r>
    </w:p>
    <w:p>
      <w:pPr>
        <w:pStyle w:val="BodyText"/>
        <w:spacing w:before="1"/>
      </w:pPr>
    </w:p>
    <w:p>
      <w:pPr>
        <w:pStyle w:val="BodyText"/>
        <w:tabs>
          <w:tab w:pos="1300" w:val="left" w:leader="none"/>
        </w:tabs>
        <w:ind w:left="1300" w:right="153" w:hanging="720"/>
      </w:pPr>
      <w:r>
        <w:rPr/>
        <w:t>M =</w:t>
        <w:tab/>
        <w:t>Monto</w:t>
      </w:r>
      <w:r>
        <w:rPr>
          <w:spacing w:val="30"/>
        </w:rPr>
        <w:t> </w:t>
      </w:r>
      <w:r>
        <w:rPr/>
        <w:t>aprobado</w:t>
      </w:r>
      <w:r>
        <w:rPr>
          <w:spacing w:val="80"/>
          <w:w w:val="150"/>
        </w:rPr>
        <w:t> </w:t>
      </w:r>
      <w:r>
        <w:rPr/>
        <w:t>en</w:t>
      </w:r>
      <w:r>
        <w:rPr>
          <w:spacing w:val="80"/>
          <w:w w:val="150"/>
        </w:rPr>
        <w:t> </w:t>
      </w:r>
      <w:r>
        <w:rPr/>
        <w:t>el</w:t>
      </w:r>
      <w:r>
        <w:rPr>
          <w:spacing w:val="28"/>
        </w:rPr>
        <w:t> </w:t>
      </w:r>
      <w:r>
        <w:rPr/>
        <w:t>Presupuesto</w:t>
      </w:r>
      <w:r>
        <w:rPr>
          <w:spacing w:val="29"/>
        </w:rPr>
        <w:t> </w:t>
      </w:r>
      <w:r>
        <w:rPr/>
        <w:t>de</w:t>
      </w:r>
      <w:r>
        <w:rPr>
          <w:spacing w:val="30"/>
        </w:rPr>
        <w:t> </w:t>
      </w:r>
      <w:r>
        <w:rPr/>
        <w:t>Egresos</w:t>
      </w:r>
      <w:r>
        <w:rPr>
          <w:spacing w:val="31"/>
        </w:rPr>
        <w:t> </w:t>
      </w:r>
      <w:r>
        <w:rPr/>
        <w:t>de</w:t>
      </w:r>
      <w:r>
        <w:rPr>
          <w:spacing w:val="29"/>
        </w:rPr>
        <w:t> </w:t>
      </w:r>
      <w:r>
        <w:rPr/>
        <w:t>la</w:t>
      </w:r>
      <w:r>
        <w:rPr>
          <w:spacing w:val="29"/>
        </w:rPr>
        <w:t> </w:t>
      </w:r>
      <w:r>
        <w:rPr/>
        <w:t>Federación</w:t>
      </w:r>
      <w:r>
        <w:rPr>
          <w:spacing w:val="29"/>
        </w:rPr>
        <w:t> </w:t>
      </w:r>
      <w:r>
        <w:rPr/>
        <w:t>a</w:t>
      </w:r>
      <w:r>
        <w:rPr>
          <w:spacing w:val="80"/>
        </w:rPr>
        <w:t> </w:t>
      </w:r>
      <w:r>
        <w:rPr/>
        <w:t>que</w:t>
      </w:r>
      <w:r>
        <w:rPr>
          <w:spacing w:val="29"/>
        </w:rPr>
        <w:t> </w:t>
      </w:r>
      <w:r>
        <w:rPr/>
        <w:t>se</w:t>
      </w:r>
      <w:r>
        <w:rPr>
          <w:spacing w:val="30"/>
        </w:rPr>
        <w:t> </w:t>
      </w:r>
      <w:r>
        <w:rPr/>
        <w:t>refiere</w:t>
      </w:r>
      <w:r>
        <w:rPr>
          <w:spacing w:val="28"/>
        </w:rPr>
        <w:t> </w:t>
      </w:r>
      <w:r>
        <w:rPr/>
        <w:t>la fracción IV del artículo 30.</w:t>
      </w:r>
    </w:p>
    <w:p>
      <w:pPr>
        <w:pStyle w:val="BodyText"/>
        <w:spacing w:before="2"/>
      </w:pPr>
    </w:p>
    <w:p>
      <w:pPr>
        <w:pStyle w:val="BodyText"/>
        <w:tabs>
          <w:tab w:pos="1300" w:val="left" w:leader="none"/>
        </w:tabs>
        <w:ind w:left="580"/>
      </w:pPr>
      <w:r>
        <w:rPr/>
        <w:t>Fi</w:t>
      </w:r>
      <w:r>
        <w:rPr>
          <w:spacing w:val="-4"/>
        </w:rPr>
        <w:t> </w:t>
      </w:r>
      <w:r>
        <w:rPr>
          <w:spacing w:val="-10"/>
        </w:rPr>
        <w:t>=</w:t>
      </w:r>
      <w:r>
        <w:rPr/>
        <w:tab/>
        <w:t>Monto</w:t>
      </w:r>
      <w:r>
        <w:rPr>
          <w:spacing w:val="-8"/>
        </w:rPr>
        <w:t> </w:t>
      </w:r>
      <w:r>
        <w:rPr/>
        <w:t>correspondiente</w:t>
      </w:r>
      <w:r>
        <w:rPr>
          <w:spacing w:val="-6"/>
        </w:rPr>
        <w:t> </w:t>
      </w:r>
      <w:r>
        <w:rPr/>
        <w:t>a</w:t>
      </w:r>
      <w:r>
        <w:rPr>
          <w:spacing w:val="-7"/>
        </w:rPr>
        <w:t> </w:t>
      </w:r>
      <w:r>
        <w:rPr/>
        <w:t>la</w:t>
      </w:r>
      <w:r>
        <w:rPr>
          <w:spacing w:val="-6"/>
        </w:rPr>
        <w:t> </w:t>
      </w:r>
      <w:r>
        <w:rPr/>
        <w:t>i-ésima</w:t>
      </w:r>
      <w:r>
        <w:rPr>
          <w:spacing w:val="-7"/>
        </w:rPr>
        <w:t> </w:t>
      </w:r>
      <w:r>
        <w:rPr/>
        <w:t>entidad</w:t>
      </w:r>
      <w:r>
        <w:rPr>
          <w:spacing w:val="-8"/>
        </w:rPr>
        <w:t> </w:t>
      </w:r>
      <w:r>
        <w:rPr/>
        <w:t>federativa</w:t>
      </w:r>
      <w:r>
        <w:rPr>
          <w:spacing w:val="-5"/>
        </w:rPr>
        <w:t> </w:t>
      </w:r>
      <w:r>
        <w:rPr/>
        <w:t>del</w:t>
      </w:r>
      <w:r>
        <w:rPr>
          <w:spacing w:val="-8"/>
        </w:rPr>
        <w:t> </w:t>
      </w:r>
      <w:r>
        <w:rPr/>
        <w:t>monto</w:t>
      </w:r>
      <w:r>
        <w:rPr>
          <w:spacing w:val="-9"/>
        </w:rPr>
        <w:t> </w:t>
      </w:r>
      <w:r>
        <w:rPr/>
        <w:t>total</w:t>
      </w:r>
      <w:r>
        <w:rPr>
          <w:spacing w:val="-9"/>
        </w:rPr>
        <w:t> </w:t>
      </w:r>
      <w:r>
        <w:rPr>
          <w:spacing w:val="-5"/>
        </w:rPr>
        <w:t>M.</w:t>
      </w:r>
    </w:p>
    <w:p>
      <w:pPr>
        <w:pStyle w:val="BodyText"/>
        <w:tabs>
          <w:tab w:pos="1300" w:val="left" w:leader="none"/>
        </w:tabs>
        <w:spacing w:line="480" w:lineRule="auto" w:before="228"/>
        <w:ind w:left="580" w:right="359"/>
      </w:pPr>
      <w:r>
        <w:rPr/>
        <w:t>Ti =</w:t>
        <w:tab/>
        <w:t>Distribución</w:t>
      </w:r>
      <w:r>
        <w:rPr>
          <w:spacing w:val="-2"/>
        </w:rPr>
        <w:t> </w:t>
      </w:r>
      <w:r>
        <w:rPr/>
        <w:t>porcentual</w:t>
      </w:r>
      <w:r>
        <w:rPr>
          <w:spacing w:val="-5"/>
        </w:rPr>
        <w:t> </w:t>
      </w:r>
      <w:r>
        <w:rPr/>
        <w:t>correspondiente</w:t>
      </w:r>
      <w:r>
        <w:rPr>
          <w:spacing w:val="-3"/>
        </w:rPr>
        <w:t> </w:t>
      </w:r>
      <w:r>
        <w:rPr/>
        <w:t>a</w:t>
      </w:r>
      <w:r>
        <w:rPr>
          <w:spacing w:val="-4"/>
        </w:rPr>
        <w:t> </w:t>
      </w:r>
      <w:r>
        <w:rPr/>
        <w:t>la</w:t>
      </w:r>
      <w:r>
        <w:rPr>
          <w:spacing w:val="-4"/>
        </w:rPr>
        <w:t> </w:t>
      </w:r>
      <w:r>
        <w:rPr/>
        <w:t>i-ésima</w:t>
      </w:r>
      <w:r>
        <w:rPr>
          <w:spacing w:val="-4"/>
        </w:rPr>
        <w:t> </w:t>
      </w:r>
      <w:r>
        <w:rPr/>
        <w:t>entidad</w:t>
      </w:r>
      <w:r>
        <w:rPr>
          <w:spacing w:val="-4"/>
        </w:rPr>
        <w:t> </w:t>
      </w:r>
      <w:r>
        <w:rPr/>
        <w:t>federativa</w:t>
      </w:r>
      <w:r>
        <w:rPr>
          <w:spacing w:val="-4"/>
        </w:rPr>
        <w:t> </w:t>
      </w:r>
      <w:r>
        <w:rPr/>
        <w:t>del</w:t>
      </w:r>
      <w:r>
        <w:rPr>
          <w:spacing w:val="-5"/>
        </w:rPr>
        <w:t> </w:t>
      </w:r>
      <w:r>
        <w:rPr/>
        <w:t>monto</w:t>
      </w:r>
      <w:r>
        <w:rPr>
          <w:spacing w:val="-5"/>
        </w:rPr>
        <w:t> </w:t>
      </w:r>
      <w:r>
        <w:rPr/>
        <w:t>total</w:t>
      </w:r>
      <w:r>
        <w:rPr>
          <w:spacing w:val="-3"/>
        </w:rPr>
        <w:t> </w:t>
      </w:r>
      <w:r>
        <w:rPr/>
        <w:t>M. Para el cálculo de Ti de la i-ésima entidad federativa se aplicará el siguiente procedimiento:</w:t>
      </w:r>
    </w:p>
    <w:p>
      <w:pPr>
        <w:pStyle w:val="BodyText"/>
        <w:spacing w:line="229" w:lineRule="exact"/>
        <w:ind w:left="143"/>
        <w:jc w:val="center"/>
      </w:pPr>
      <w:r>
        <w:rPr/>
        <w:t>Ti</w:t>
      </w:r>
      <w:r>
        <w:rPr>
          <w:spacing w:val="-4"/>
        </w:rPr>
        <w:t> </w:t>
      </w:r>
      <w:r>
        <w:rPr/>
        <w:t>=</w:t>
      </w:r>
      <w:r>
        <w:rPr>
          <w:spacing w:val="-3"/>
        </w:rPr>
        <w:t> </w:t>
      </w:r>
      <w:r>
        <w:rPr/>
        <w:t>Di</w:t>
      </w:r>
      <w:r>
        <w:rPr>
          <w:spacing w:val="-3"/>
        </w:rPr>
        <w:t> </w:t>
      </w:r>
      <w:r>
        <w:rPr/>
        <w:t>/ </w:t>
      </w:r>
      <w:r>
        <w:rPr>
          <w:spacing w:val="-5"/>
        </w:rPr>
        <w:t>DM</w:t>
      </w:r>
    </w:p>
    <w:p>
      <w:pPr>
        <w:pStyle w:val="BodyText"/>
        <w:spacing w:before="1"/>
      </w:pPr>
    </w:p>
    <w:p>
      <w:pPr>
        <w:pStyle w:val="BodyText"/>
        <w:ind w:left="580"/>
      </w:pPr>
      <w:r>
        <w:rPr/>
        <w:t>En</w:t>
      </w:r>
      <w:r>
        <w:rPr>
          <w:spacing w:val="-5"/>
        </w:rPr>
        <w:t> </w:t>
      </w:r>
      <w:r>
        <w:rPr>
          <w:spacing w:val="-2"/>
        </w:rPr>
        <w:t>donde:</w:t>
      </w:r>
    </w:p>
    <w:p>
      <w:pPr>
        <w:pStyle w:val="BodyText"/>
        <w:spacing w:before="1"/>
      </w:pPr>
    </w:p>
    <w:p>
      <w:pPr>
        <w:pStyle w:val="BodyText"/>
        <w:tabs>
          <w:tab w:pos="1300" w:val="left" w:leader="none"/>
        </w:tabs>
        <w:ind w:left="580"/>
      </w:pPr>
      <w:r>
        <w:rPr/>
        <w:t>DM</w:t>
      </w:r>
      <w:r>
        <w:rPr>
          <w:spacing w:val="-5"/>
        </w:rPr>
        <w:t> </w:t>
      </w:r>
      <w:r>
        <w:rPr>
          <w:spacing w:val="-10"/>
        </w:rPr>
        <w:t>=</w:t>
      </w:r>
      <w:r>
        <w:rPr/>
        <w:tab/>
        <w:t>Monto</w:t>
      </w:r>
      <w:r>
        <w:rPr>
          <w:spacing w:val="-7"/>
        </w:rPr>
        <w:t> </w:t>
      </w:r>
      <w:r>
        <w:rPr/>
        <w:t>total</w:t>
      </w:r>
      <w:r>
        <w:rPr>
          <w:spacing w:val="-6"/>
        </w:rPr>
        <w:t> </w:t>
      </w:r>
      <w:r>
        <w:rPr/>
        <w:t>del</w:t>
      </w:r>
      <w:r>
        <w:rPr>
          <w:spacing w:val="-8"/>
        </w:rPr>
        <w:t> </w:t>
      </w:r>
      <w:r>
        <w:rPr/>
        <w:t>déficit</w:t>
      </w:r>
      <w:r>
        <w:rPr>
          <w:spacing w:val="-7"/>
        </w:rPr>
        <w:t> </w:t>
      </w:r>
      <w:r>
        <w:rPr/>
        <w:t>en</w:t>
      </w:r>
      <w:r>
        <w:rPr>
          <w:spacing w:val="-5"/>
        </w:rPr>
        <w:t> </w:t>
      </w:r>
      <w:r>
        <w:rPr/>
        <w:t>entidades</w:t>
      </w:r>
      <w:r>
        <w:rPr>
          <w:spacing w:val="-6"/>
        </w:rPr>
        <w:t> </w:t>
      </w:r>
      <w:r>
        <w:rPr/>
        <w:t>federativas</w:t>
      </w:r>
      <w:r>
        <w:rPr>
          <w:spacing w:val="-5"/>
        </w:rPr>
        <w:t> </w:t>
      </w:r>
      <w:r>
        <w:rPr/>
        <w:t>con</w:t>
      </w:r>
      <w:r>
        <w:rPr>
          <w:spacing w:val="-6"/>
        </w:rPr>
        <w:t> </w:t>
      </w:r>
      <w:r>
        <w:rPr/>
        <w:t>gasto</w:t>
      </w:r>
      <w:r>
        <w:rPr>
          <w:spacing w:val="-8"/>
        </w:rPr>
        <w:t> </w:t>
      </w:r>
      <w:r>
        <w:rPr/>
        <w:t>total</w:t>
      </w:r>
      <w:r>
        <w:rPr>
          <w:spacing w:val="-6"/>
        </w:rPr>
        <w:t> </w:t>
      </w:r>
      <w:r>
        <w:rPr/>
        <w:t>inferior</w:t>
      </w:r>
      <w:r>
        <w:rPr>
          <w:spacing w:val="-4"/>
        </w:rPr>
        <w:t> </w:t>
      </w:r>
      <w:r>
        <w:rPr/>
        <w:t>al</w:t>
      </w:r>
      <w:r>
        <w:rPr>
          <w:spacing w:val="-8"/>
        </w:rPr>
        <w:t> </w:t>
      </w:r>
      <w:r>
        <w:rPr/>
        <w:t>mínimo</w:t>
      </w:r>
      <w:r>
        <w:rPr>
          <w:spacing w:val="-7"/>
        </w:rPr>
        <w:t> </w:t>
      </w:r>
      <w:r>
        <w:rPr>
          <w:spacing w:val="-2"/>
        </w:rPr>
        <w:t>aceptado.</w:t>
      </w:r>
    </w:p>
    <w:p>
      <w:pPr>
        <w:pStyle w:val="BodyText"/>
        <w:tabs>
          <w:tab w:pos="1300" w:val="left" w:leader="none"/>
        </w:tabs>
        <w:spacing w:before="228"/>
        <w:ind w:left="1300" w:right="136" w:hanging="720"/>
      </w:pPr>
      <w:r>
        <w:rPr/>
        <w:t>Di</w:t>
      </w:r>
      <w:r>
        <w:rPr>
          <w:spacing w:val="80"/>
        </w:rPr>
        <w:t> </w:t>
      </w:r>
      <w:r>
        <w:rPr/>
        <w:t>=</w:t>
        <w:tab/>
        <w:t>Monto</w:t>
      </w:r>
      <w:r>
        <w:rPr>
          <w:spacing w:val="28"/>
        </w:rPr>
        <w:t> </w:t>
      </w:r>
      <w:r>
        <w:rPr/>
        <w:t>total</w:t>
      </w:r>
      <w:r>
        <w:rPr>
          <w:spacing w:val="30"/>
        </w:rPr>
        <w:t> </w:t>
      </w:r>
      <w:r>
        <w:rPr/>
        <w:t>del</w:t>
      </w:r>
      <w:r>
        <w:rPr>
          <w:spacing w:val="28"/>
        </w:rPr>
        <w:t> </w:t>
      </w:r>
      <w:r>
        <w:rPr/>
        <w:t>déficit</w:t>
      </w:r>
      <w:r>
        <w:rPr>
          <w:spacing w:val="28"/>
        </w:rPr>
        <w:t> </w:t>
      </w:r>
      <w:r>
        <w:rPr/>
        <w:t>de</w:t>
      </w:r>
      <w:r>
        <w:rPr>
          <w:spacing w:val="30"/>
        </w:rPr>
        <w:t> </w:t>
      </w:r>
      <w:r>
        <w:rPr/>
        <w:t>la</w:t>
      </w:r>
      <w:r>
        <w:rPr>
          <w:spacing w:val="28"/>
        </w:rPr>
        <w:t> </w:t>
      </w:r>
      <w:r>
        <w:rPr/>
        <w:t>i-ésima</w:t>
      </w:r>
      <w:r>
        <w:rPr>
          <w:spacing w:val="28"/>
        </w:rPr>
        <w:t> </w:t>
      </w:r>
      <w:r>
        <w:rPr/>
        <w:t>entidad</w:t>
      </w:r>
      <w:r>
        <w:rPr>
          <w:spacing w:val="28"/>
        </w:rPr>
        <w:t> </w:t>
      </w:r>
      <w:r>
        <w:rPr/>
        <w:t>federativa</w:t>
      </w:r>
      <w:r>
        <w:rPr>
          <w:spacing w:val="28"/>
        </w:rPr>
        <w:t> </w:t>
      </w:r>
      <w:r>
        <w:rPr/>
        <w:t>con</w:t>
      </w:r>
      <w:r>
        <w:rPr>
          <w:spacing w:val="28"/>
        </w:rPr>
        <w:t> </w:t>
      </w:r>
      <w:r>
        <w:rPr/>
        <w:t>gasto</w:t>
      </w:r>
      <w:r>
        <w:rPr>
          <w:spacing w:val="28"/>
        </w:rPr>
        <w:t> </w:t>
      </w:r>
      <w:r>
        <w:rPr/>
        <w:t>total</w:t>
      </w:r>
      <w:r>
        <w:rPr>
          <w:spacing w:val="28"/>
        </w:rPr>
        <w:t> </w:t>
      </w:r>
      <w:r>
        <w:rPr/>
        <w:t>inferior</w:t>
      </w:r>
      <w:r>
        <w:rPr>
          <w:spacing w:val="32"/>
        </w:rPr>
        <w:t> </w:t>
      </w:r>
      <w:r>
        <w:rPr/>
        <w:t>al</w:t>
      </w:r>
      <w:r>
        <w:rPr>
          <w:spacing w:val="27"/>
        </w:rPr>
        <w:t> </w:t>
      </w:r>
      <w:r>
        <w:rPr/>
        <w:t>mínimo </w:t>
      </w:r>
      <w:r>
        <w:rPr>
          <w:spacing w:val="-2"/>
        </w:rPr>
        <w:t>aceptado.</w:t>
      </w:r>
    </w:p>
    <w:p>
      <w:pPr>
        <w:pStyle w:val="BodyText"/>
        <w:spacing w:before="2"/>
      </w:pPr>
    </w:p>
    <w:p>
      <w:pPr>
        <w:pStyle w:val="BodyText"/>
        <w:ind w:left="580"/>
      </w:pPr>
      <w:r>
        <w:rPr/>
        <w:t>En</w:t>
      </w:r>
      <w:r>
        <w:rPr>
          <w:spacing w:val="-5"/>
        </w:rPr>
        <w:t> </w:t>
      </w:r>
      <w:r>
        <w:rPr>
          <w:spacing w:val="-2"/>
        </w:rPr>
        <w:t>donde:</w:t>
      </w:r>
    </w:p>
    <w:p>
      <w:pPr>
        <w:pStyle w:val="BodyText"/>
        <w:spacing w:before="1"/>
      </w:pPr>
    </w:p>
    <w:p>
      <w:pPr>
        <w:pStyle w:val="BodyText"/>
        <w:tabs>
          <w:tab w:pos="990" w:val="left" w:leader="none"/>
        </w:tabs>
        <w:ind w:left="580"/>
      </w:pPr>
      <w:r>
        <w:rPr>
          <w:spacing w:val="-5"/>
        </w:rPr>
        <w:t>Di</w:t>
      </w:r>
      <w:r>
        <w:rPr/>
        <w:tab/>
        <w:t>=</w:t>
      </w:r>
      <w:r>
        <w:rPr>
          <w:spacing w:val="35"/>
        </w:rPr>
        <w:t>  </w:t>
      </w:r>
      <w:r>
        <w:rPr/>
        <w:t>max[(POBi</w:t>
      </w:r>
      <w:r>
        <w:rPr>
          <w:spacing w:val="-4"/>
        </w:rPr>
        <w:t> </w:t>
      </w:r>
      <w:r>
        <w:rPr/>
        <w:t>*</w:t>
      </w:r>
      <w:r>
        <w:rPr>
          <w:spacing w:val="-2"/>
        </w:rPr>
        <w:t> </w:t>
      </w:r>
      <w:r>
        <w:rPr/>
        <w:t>(PMIN</w:t>
      </w:r>
      <w:r>
        <w:rPr>
          <w:spacing w:val="-3"/>
        </w:rPr>
        <w:t> </w:t>
      </w:r>
      <w:r>
        <w:rPr/>
        <w:t>*</w:t>
      </w:r>
      <w:r>
        <w:rPr>
          <w:spacing w:val="-2"/>
        </w:rPr>
        <w:t> </w:t>
      </w:r>
      <w:r>
        <w:rPr/>
        <w:t>0.5</w:t>
      </w:r>
      <w:r>
        <w:rPr>
          <w:spacing w:val="-2"/>
        </w:rPr>
        <w:t> </w:t>
      </w:r>
      <w:r>
        <w:rPr/>
        <w:t>*</w:t>
      </w:r>
      <w:r>
        <w:rPr>
          <w:spacing w:val="-4"/>
        </w:rPr>
        <w:t> </w:t>
      </w:r>
      <w:r>
        <w:rPr/>
        <w:t>(REMi</w:t>
      </w:r>
      <w:r>
        <w:rPr>
          <w:spacing w:val="-3"/>
        </w:rPr>
        <w:t> </w:t>
      </w:r>
      <w:r>
        <w:rPr/>
        <w:t>+</w:t>
      </w:r>
      <w:r>
        <w:rPr>
          <w:spacing w:val="-4"/>
        </w:rPr>
        <w:t> </w:t>
      </w:r>
      <w:r>
        <w:rPr/>
        <w:t>IEMi))</w:t>
      </w:r>
      <w:r>
        <w:rPr>
          <w:spacing w:val="1"/>
        </w:rPr>
        <w:t> </w:t>
      </w:r>
      <w:r>
        <w:rPr/>
        <w:t>-</w:t>
      </w:r>
      <w:r>
        <w:rPr>
          <w:spacing w:val="-3"/>
        </w:rPr>
        <w:t> </w:t>
      </w:r>
      <w:r>
        <w:rPr/>
        <w:t>Gti),</w:t>
      </w:r>
      <w:r>
        <w:rPr>
          <w:spacing w:val="-2"/>
        </w:rPr>
        <w:t> </w:t>
      </w:r>
      <w:r>
        <w:rPr>
          <w:spacing w:val="-5"/>
        </w:rPr>
        <w:t>0]</w:t>
      </w:r>
    </w:p>
    <w:p>
      <w:pPr>
        <w:pStyle w:val="BodyText"/>
        <w:spacing w:before="228"/>
        <w:ind w:left="580"/>
      </w:pPr>
      <w:r>
        <w:rPr/>
        <w:t>En</w:t>
      </w:r>
      <w:r>
        <w:rPr>
          <w:spacing w:val="-5"/>
        </w:rPr>
        <w:t> </w:t>
      </w:r>
      <w:r>
        <w:rPr>
          <w:spacing w:val="-2"/>
        </w:rPr>
        <w:t>donde:</w:t>
      </w:r>
    </w:p>
    <w:p>
      <w:pPr>
        <w:pStyle w:val="BodyText"/>
        <w:spacing w:before="1"/>
      </w:pPr>
    </w:p>
    <w:p>
      <w:pPr>
        <w:pStyle w:val="BodyText"/>
        <w:spacing w:line="477" w:lineRule="auto"/>
        <w:ind w:left="580" w:right="3592"/>
      </w:pPr>
      <w:r>
        <w:rPr/>
        <w:t>POBi</w:t>
      </w:r>
      <w:r>
        <w:rPr>
          <w:spacing w:val="-7"/>
        </w:rPr>
        <w:t> </w:t>
      </w:r>
      <w:r>
        <w:rPr/>
        <w:t>=</w:t>
      </w:r>
      <w:r>
        <w:rPr>
          <w:spacing w:val="20"/>
        </w:rPr>
        <w:t> </w:t>
      </w:r>
      <w:r>
        <w:rPr/>
        <w:t>Población</w:t>
      </w:r>
      <w:r>
        <w:rPr>
          <w:spacing w:val="-5"/>
        </w:rPr>
        <w:t> </w:t>
      </w:r>
      <w:r>
        <w:rPr/>
        <w:t>abierta</w:t>
      </w:r>
      <w:r>
        <w:rPr>
          <w:spacing w:val="-4"/>
        </w:rPr>
        <w:t> </w:t>
      </w:r>
      <w:r>
        <w:rPr/>
        <w:t>en</w:t>
      </w:r>
      <w:r>
        <w:rPr>
          <w:spacing w:val="-5"/>
        </w:rPr>
        <w:t> </w:t>
      </w:r>
      <w:r>
        <w:rPr/>
        <w:t>i-ésima</w:t>
      </w:r>
      <w:r>
        <w:rPr>
          <w:spacing w:val="-6"/>
        </w:rPr>
        <w:t> </w:t>
      </w:r>
      <w:r>
        <w:rPr/>
        <w:t>entidad</w:t>
      </w:r>
      <w:r>
        <w:rPr>
          <w:spacing w:val="-7"/>
        </w:rPr>
        <w:t> </w:t>
      </w:r>
      <w:r>
        <w:rPr/>
        <w:t>federativa. PMIN =</w:t>
      </w:r>
      <w:r>
        <w:rPr>
          <w:spacing w:val="80"/>
        </w:rPr>
        <w:t> </w:t>
      </w:r>
      <w:r>
        <w:rPr/>
        <w:t>Presupuesto mínimo per cápita aceptado.</w:t>
      </w:r>
    </w:p>
    <w:p>
      <w:pPr>
        <w:pStyle w:val="BodyText"/>
        <w:spacing w:line="480" w:lineRule="auto" w:before="4"/>
        <w:ind w:left="580" w:right="1833"/>
      </w:pPr>
      <w:r>
        <w:rPr/>
        <w:t>REMi = Razón estandarizada de mortalidad de la i-ésima entidad federativa. IEMi</w:t>
      </w:r>
      <w:r>
        <w:rPr>
          <w:spacing w:val="80"/>
        </w:rPr>
        <w:t> </w:t>
      </w:r>
      <w:r>
        <w:rPr/>
        <w:t>=</w:t>
      </w:r>
      <w:r>
        <w:rPr>
          <w:spacing w:val="80"/>
        </w:rPr>
        <w:t> </w:t>
      </w:r>
      <w:r>
        <w:rPr/>
        <w:t>Indice</w:t>
      </w:r>
      <w:r>
        <w:rPr>
          <w:spacing w:val="-2"/>
        </w:rPr>
        <w:t> </w:t>
      </w:r>
      <w:r>
        <w:rPr/>
        <w:t>estandarizado</w:t>
      </w:r>
      <w:r>
        <w:rPr>
          <w:spacing w:val="-3"/>
        </w:rPr>
        <w:t> </w:t>
      </w:r>
      <w:r>
        <w:rPr/>
        <w:t>de</w:t>
      </w:r>
      <w:r>
        <w:rPr>
          <w:spacing w:val="-5"/>
        </w:rPr>
        <w:t> </w:t>
      </w:r>
      <w:r>
        <w:rPr/>
        <w:t>marginación</w:t>
      </w:r>
      <w:r>
        <w:rPr>
          <w:spacing w:val="-4"/>
        </w:rPr>
        <w:t> </w:t>
      </w:r>
      <w:r>
        <w:rPr/>
        <w:t>de</w:t>
      </w:r>
      <w:r>
        <w:rPr>
          <w:spacing w:val="-2"/>
        </w:rPr>
        <w:t> </w:t>
      </w:r>
      <w:r>
        <w:rPr/>
        <w:t>la</w:t>
      </w:r>
      <w:r>
        <w:rPr>
          <w:spacing w:val="-2"/>
        </w:rPr>
        <w:t> </w:t>
      </w:r>
      <w:r>
        <w:rPr/>
        <w:t>i-ésima</w:t>
      </w:r>
      <w:r>
        <w:rPr>
          <w:spacing w:val="-4"/>
        </w:rPr>
        <w:t> </w:t>
      </w:r>
      <w:r>
        <w:rPr/>
        <w:t>entidad</w:t>
      </w:r>
      <w:r>
        <w:rPr>
          <w:spacing w:val="-4"/>
        </w:rPr>
        <w:t> </w:t>
      </w:r>
      <w:r>
        <w:rPr/>
        <w:t>federativa.</w:t>
      </w:r>
    </w:p>
    <w:p>
      <w:pPr>
        <w:pStyle w:val="BodyText"/>
        <w:tabs>
          <w:tab w:pos="1057" w:val="left" w:leader="none"/>
        </w:tabs>
        <w:ind w:left="1300" w:right="153" w:hanging="720"/>
      </w:pPr>
      <w:r>
        <w:rPr>
          <w:spacing w:val="-4"/>
        </w:rPr>
        <w:t>Gti</w:t>
      </w:r>
      <w:r>
        <w:rPr/>
        <w:tab/>
        <w:t>=</w:t>
      </w:r>
      <w:r>
        <w:rPr>
          <w:spacing w:val="40"/>
        </w:rPr>
        <w:t> </w:t>
      </w:r>
      <w:r>
        <w:rPr/>
        <w:t>Gasto total</w:t>
      </w:r>
      <w:r>
        <w:rPr>
          <w:spacing w:val="22"/>
        </w:rPr>
        <w:t> </w:t>
      </w:r>
      <w:r>
        <w:rPr/>
        <w:t>federal</w:t>
      </w:r>
      <w:r>
        <w:rPr>
          <w:spacing w:val="22"/>
        </w:rPr>
        <w:t> </w:t>
      </w:r>
      <w:r>
        <w:rPr/>
        <w:t>que</w:t>
      </w:r>
      <w:r>
        <w:rPr>
          <w:spacing w:val="23"/>
        </w:rPr>
        <w:t> </w:t>
      </w:r>
      <w:r>
        <w:rPr/>
        <w:t>para población</w:t>
      </w:r>
      <w:r>
        <w:rPr>
          <w:spacing w:val="22"/>
        </w:rPr>
        <w:t> </w:t>
      </w:r>
      <w:r>
        <w:rPr/>
        <w:t>abierta se</w:t>
      </w:r>
      <w:r>
        <w:rPr>
          <w:spacing w:val="23"/>
        </w:rPr>
        <w:t> </w:t>
      </w:r>
      <w:r>
        <w:rPr/>
        <w:t>ejerza</w:t>
      </w:r>
      <w:r>
        <w:rPr>
          <w:spacing w:val="23"/>
        </w:rPr>
        <w:t> </w:t>
      </w:r>
      <w:r>
        <w:rPr/>
        <w:t>en</w:t>
      </w:r>
      <w:r>
        <w:rPr>
          <w:spacing w:val="22"/>
        </w:rPr>
        <w:t> </w:t>
      </w:r>
      <w:r>
        <w:rPr/>
        <w:t>las</w:t>
      </w:r>
      <w:r>
        <w:rPr>
          <w:spacing w:val="24"/>
        </w:rPr>
        <w:t> </w:t>
      </w:r>
      <w:r>
        <w:rPr/>
        <w:t>entidades</w:t>
      </w:r>
      <w:r>
        <w:rPr>
          <w:spacing w:val="22"/>
        </w:rPr>
        <w:t> </w:t>
      </w:r>
      <w:r>
        <w:rPr/>
        <w:t>federativas</w:t>
      </w:r>
      <w:r>
        <w:rPr>
          <w:spacing w:val="22"/>
        </w:rPr>
        <w:t> </w:t>
      </w:r>
      <w:r>
        <w:rPr/>
        <w:t>sin incluir M del ejercicio correspondiente.</w:t>
      </w:r>
    </w:p>
    <w:p>
      <w:pPr>
        <w:pStyle w:val="BodyText"/>
        <w:spacing w:before="1"/>
      </w:pPr>
    </w:p>
    <w:p>
      <w:pPr>
        <w:pStyle w:val="BodyText"/>
        <w:ind w:left="1" w:right="152" w:firstLine="288"/>
        <w:jc w:val="both"/>
      </w:pPr>
      <w:r>
        <w:rPr/>
        <w:t>La Secretaría de Salud dará a conocer anualmente, en el seno del Consejo Nacional de Salud y, a más tardar el 31 de enero, en el Diario Oficial de la Federación, las cifras que corresponden a las variables integrantes de la fórmula anterior resultantes de los sistemas oficiales de información.</w:t>
      </w:r>
    </w:p>
    <w:p>
      <w:pPr>
        <w:spacing w:line="240" w:lineRule="auto" w:before="0"/>
        <w:ind w:left="6967" w:right="138"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09-12-2013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w:t>
      </w:r>
      <w:r>
        <w:rPr>
          <w:rFonts w:ascii="Times New Roman" w:hAnsi="Times New Roman"/>
          <w:i/>
          <w:color w:val="0000FF"/>
          <w:spacing w:val="-4"/>
          <w:sz w:val="16"/>
        </w:rPr>
        <w:t>1997</w:t>
      </w:r>
    </w:p>
    <w:p>
      <w:pPr>
        <w:pStyle w:val="BodyText"/>
        <w:spacing w:before="44"/>
        <w:rPr>
          <w:rFonts w:ascii="Times New Roman"/>
          <w:i/>
          <w:sz w:val="16"/>
        </w:rPr>
      </w:pPr>
    </w:p>
    <w:p>
      <w:pPr>
        <w:pStyle w:val="BodyText"/>
        <w:spacing w:before="1"/>
        <w:ind w:left="1" w:right="144" w:firstLine="288"/>
        <w:jc w:val="both"/>
      </w:pPr>
      <w:bookmarkStart w:name="Artículo_32" w:id="47"/>
      <w:bookmarkEnd w:id="47"/>
      <w:r>
        <w:rPr/>
      </w:r>
      <w:r>
        <w:rPr>
          <w:rFonts w:ascii="Arial" w:hAnsi="Arial"/>
          <w:b/>
        </w:rPr>
        <w:t>Artículo 32.- </w:t>
      </w:r>
      <w:r>
        <w:rPr/>
        <w:t>El</w:t>
      </w:r>
      <w:r>
        <w:rPr>
          <w:spacing w:val="-4"/>
        </w:rPr>
        <w:t> </w:t>
      </w:r>
      <w:r>
        <w:rPr/>
        <w:t>Fondo</w:t>
      </w:r>
      <w:r>
        <w:rPr>
          <w:spacing w:val="-3"/>
        </w:rPr>
        <w:t> </w:t>
      </w:r>
      <w:r>
        <w:rPr/>
        <w:t>de</w:t>
      </w:r>
      <w:r>
        <w:rPr>
          <w:spacing w:val="-1"/>
        </w:rPr>
        <w:t> </w:t>
      </w:r>
      <w:r>
        <w:rPr/>
        <w:t>Aportaciones</w:t>
      </w:r>
      <w:r>
        <w:rPr>
          <w:spacing w:val="-2"/>
        </w:rPr>
        <w:t> </w:t>
      </w:r>
      <w:r>
        <w:rPr/>
        <w:t>para</w:t>
      </w:r>
      <w:r>
        <w:rPr>
          <w:spacing w:val="-1"/>
        </w:rPr>
        <w:t> </w:t>
      </w:r>
      <w:r>
        <w:rPr/>
        <w:t>la</w:t>
      </w:r>
      <w:r>
        <w:rPr>
          <w:spacing w:val="-1"/>
        </w:rPr>
        <w:t> </w:t>
      </w:r>
      <w:r>
        <w:rPr/>
        <w:t>Infraestructura</w:t>
      </w:r>
      <w:r>
        <w:rPr>
          <w:spacing w:val="-3"/>
        </w:rPr>
        <w:t> </w:t>
      </w:r>
      <w:r>
        <w:rPr/>
        <w:t>Social</w:t>
      </w:r>
      <w:r>
        <w:rPr>
          <w:spacing w:val="-4"/>
        </w:rPr>
        <w:t> </w:t>
      </w:r>
      <w:r>
        <w:rPr/>
        <w:t>se</w:t>
      </w:r>
      <w:r>
        <w:rPr>
          <w:spacing w:val="-1"/>
        </w:rPr>
        <w:t> </w:t>
      </w:r>
      <w:r>
        <w:rPr/>
        <w:t>determinará</w:t>
      </w:r>
      <w:r>
        <w:rPr>
          <w:spacing w:val="-1"/>
        </w:rPr>
        <w:t> </w:t>
      </w:r>
      <w:r>
        <w:rPr/>
        <w:t>anualmente</w:t>
      </w:r>
      <w:r>
        <w:rPr>
          <w:spacing w:val="-1"/>
        </w:rPr>
        <w:t> </w:t>
      </w:r>
      <w:r>
        <w:rPr/>
        <w:t>en</w:t>
      </w:r>
      <w:r>
        <w:rPr>
          <w:spacing w:val="-1"/>
        </w:rPr>
        <w:t> </w:t>
      </w:r>
      <w:r>
        <w:rPr/>
        <w:t>el Presupuesto de Egresos de la Federación con recursos federales por un monto equivalente, sólo para efectos de referencia, al 2.5294% de la recaudación federal participable a que se refiere el artículo 2o. de esta</w:t>
      </w:r>
      <w:r>
        <w:rPr>
          <w:spacing w:val="12"/>
        </w:rPr>
        <w:t> </w:t>
      </w:r>
      <w:r>
        <w:rPr/>
        <w:t>Ley,</w:t>
      </w:r>
      <w:r>
        <w:rPr>
          <w:spacing w:val="14"/>
        </w:rPr>
        <w:t> </w:t>
      </w:r>
      <w:r>
        <w:rPr/>
        <w:t>según</w:t>
      </w:r>
      <w:r>
        <w:rPr>
          <w:spacing w:val="12"/>
        </w:rPr>
        <w:t> </w:t>
      </w:r>
      <w:r>
        <w:rPr/>
        <w:t>estimación que</w:t>
      </w:r>
      <w:r>
        <w:rPr>
          <w:spacing w:val="12"/>
        </w:rPr>
        <w:t> </w:t>
      </w:r>
      <w:r>
        <w:rPr/>
        <w:t>de</w:t>
      </w:r>
      <w:r>
        <w:rPr>
          <w:spacing w:val="12"/>
        </w:rPr>
        <w:t> </w:t>
      </w:r>
      <w:r>
        <w:rPr/>
        <w:t>la</w:t>
      </w:r>
      <w:r>
        <w:rPr>
          <w:spacing w:val="12"/>
        </w:rPr>
        <w:t> </w:t>
      </w:r>
      <w:r>
        <w:rPr/>
        <w:t>misma</w:t>
      </w:r>
      <w:r>
        <w:rPr>
          <w:spacing w:val="12"/>
        </w:rPr>
        <w:t> </w:t>
      </w:r>
      <w:r>
        <w:rPr/>
        <w:t>se</w:t>
      </w:r>
      <w:r>
        <w:rPr>
          <w:spacing w:val="12"/>
        </w:rPr>
        <w:t> </w:t>
      </w:r>
      <w:r>
        <w:rPr/>
        <w:t>realice</w:t>
      </w:r>
      <w:r>
        <w:rPr>
          <w:spacing w:val="12"/>
        </w:rPr>
        <w:t> </w:t>
      </w:r>
      <w:r>
        <w:rPr/>
        <w:t>en</w:t>
      </w:r>
      <w:r>
        <w:rPr>
          <w:spacing w:val="14"/>
        </w:rPr>
        <w:t> </w:t>
      </w:r>
      <w:r>
        <w:rPr/>
        <w:t>el</w:t>
      </w:r>
      <w:r>
        <w:rPr>
          <w:spacing w:val="13"/>
        </w:rPr>
        <w:t> </w:t>
      </w:r>
      <w:r>
        <w:rPr/>
        <w:t>propio</w:t>
      </w:r>
      <w:r>
        <w:rPr>
          <w:spacing w:val="14"/>
        </w:rPr>
        <w:t> </w:t>
      </w:r>
      <w:r>
        <w:rPr/>
        <w:t>presupuesto,</w:t>
      </w:r>
      <w:r>
        <w:rPr>
          <w:spacing w:val="12"/>
        </w:rPr>
        <w:t> </w:t>
      </w:r>
      <w:r>
        <w:rPr/>
        <w:t>con</w:t>
      </w:r>
      <w:r>
        <w:rPr>
          <w:spacing w:val="14"/>
        </w:rPr>
        <w:t> </w:t>
      </w:r>
      <w:r>
        <w:rPr/>
        <w:t>base</w:t>
      </w:r>
      <w:r>
        <w:rPr>
          <w:spacing w:val="14"/>
        </w:rPr>
        <w:t> </w:t>
      </w:r>
      <w:r>
        <w:rPr/>
        <w:t>en</w:t>
      </w:r>
      <w:r>
        <w:rPr>
          <w:spacing w:val="14"/>
        </w:rPr>
        <w:t> </w:t>
      </w:r>
      <w:r>
        <w:rPr/>
        <w:t>lo</w:t>
      </w:r>
      <w:r>
        <w:rPr>
          <w:spacing w:val="14"/>
        </w:rPr>
        <w:t> </w:t>
      </w:r>
      <w:r>
        <w:rPr/>
        <w:t>que</w:t>
      </w:r>
      <w:r>
        <w:rPr>
          <w:spacing w:val="14"/>
        </w:rPr>
        <w:t> </w:t>
      </w:r>
      <w:r>
        <w:rPr/>
        <w:t>al</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right="145"/>
        <w:jc w:val="both"/>
      </w:pPr>
      <w:r>
        <w:rPr/>
        <w:t>efecto establezca la Ley de Ingresos de la Federación para ese ejercicio. Del total de la recaudación federal participable el 0.3066% corresponderá al Fondo para la Infraestructura Social de las Entidades y</w:t>
      </w:r>
      <w:r>
        <w:rPr>
          <w:spacing w:val="40"/>
        </w:rPr>
        <w:t> </w:t>
      </w:r>
      <w:r>
        <w:rPr/>
        <w:t>el 2.2228% al Fondo para la Infraestructura Social Municipal y de las Demarcaciones Territoriales del Distrito Federal.</w:t>
      </w:r>
    </w:p>
    <w:p>
      <w:pPr>
        <w:pStyle w:val="BodyText"/>
      </w:pPr>
    </w:p>
    <w:p>
      <w:pPr>
        <w:pStyle w:val="BodyText"/>
        <w:ind w:left="1" w:right="142" w:firstLine="288"/>
        <w:jc w:val="both"/>
      </w:pPr>
      <w:r>
        <w:rPr/>
        <w:t>Este fondo se enterará mensualmente en los primeros diez meses del año por partes iguales a las entidades por conducto de la Federación y, a los municipios y demarcaciones territoriales a través de las entidades, de manera ágil y directa, sin más limitaciones ni restricciones, incluyendo las de carácter administrativo, que las correspondientes a los fines que se establecen en el artículo 33 de esta Ley.</w:t>
      </w:r>
    </w:p>
    <w:p>
      <w:pPr>
        <w:spacing w:line="181" w:lineRule="exact" w:before="0"/>
        <w:ind w:left="41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31-12-1998,</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8"/>
        <w:rPr>
          <w:rFonts w:ascii="Times New Roman"/>
          <w:i/>
          <w:sz w:val="16"/>
        </w:rPr>
      </w:pPr>
    </w:p>
    <w:p>
      <w:pPr>
        <w:pStyle w:val="BodyText"/>
        <w:ind w:left="1" w:right="140" w:firstLine="288"/>
        <w:jc w:val="both"/>
      </w:pPr>
      <w:bookmarkStart w:name="Artículo_33" w:id="48"/>
      <w:bookmarkEnd w:id="48"/>
      <w:r>
        <w:rPr/>
      </w:r>
      <w:r>
        <w:rPr>
          <w:rFonts w:ascii="Arial" w:hAnsi="Arial"/>
          <w:b/>
        </w:rPr>
        <w:t>Artículo 33.- </w:t>
      </w:r>
      <w:r>
        <w:rPr/>
        <w:t>Las aportaciones federales que con cargo al Fondo de Aportaciones para la Infraestructura Social reciban las entidades, los municipios y las demarcaciones territoriales, se</w:t>
      </w:r>
      <w:r>
        <w:rPr>
          <w:spacing w:val="40"/>
        </w:rPr>
        <w:t> </w:t>
      </w:r>
      <w:r>
        <w:rPr/>
        <w:t>destinarán exclusivamente al financiamiento de obras, acciones sociales básicas y a inversiones que beneficien directamente a población en pobreza extrema, localidades con alto o muy alto nivel de rezago social conforme a lo previsto en la Ley General de Desarrollo Social,</w:t>
      </w:r>
      <w:r>
        <w:rPr>
          <w:spacing w:val="40"/>
        </w:rPr>
        <w:t> </w:t>
      </w:r>
      <w:r>
        <w:rPr/>
        <w:t>y en las zonas de atención</w:t>
      </w:r>
      <w:r>
        <w:rPr>
          <w:spacing w:val="40"/>
        </w:rPr>
        <w:t> </w:t>
      </w:r>
      <w:r>
        <w:rPr>
          <w:spacing w:val="-2"/>
        </w:rPr>
        <w:t>prioritaria.</w:t>
      </w:r>
    </w:p>
    <w:p>
      <w:pPr>
        <w:pStyle w:val="BodyText"/>
      </w:pPr>
    </w:p>
    <w:p>
      <w:pPr>
        <w:pStyle w:val="ListParagraph"/>
        <w:numPr>
          <w:ilvl w:val="1"/>
          <w:numId w:val="11"/>
        </w:numPr>
        <w:tabs>
          <w:tab w:pos="721" w:val="left" w:leader="none"/>
        </w:tabs>
        <w:spacing w:line="240" w:lineRule="auto" w:before="1" w:after="0"/>
        <w:ind w:left="721" w:right="154" w:hanging="432"/>
        <w:jc w:val="left"/>
        <w:rPr>
          <w:sz w:val="20"/>
        </w:rPr>
      </w:pPr>
      <w:r>
        <w:rPr>
          <w:sz w:val="20"/>
        </w:rPr>
        <w:t>Los</w:t>
      </w:r>
      <w:r>
        <w:rPr>
          <w:spacing w:val="40"/>
          <w:sz w:val="20"/>
        </w:rPr>
        <w:t> </w:t>
      </w:r>
      <w:r>
        <w:rPr>
          <w:sz w:val="20"/>
        </w:rPr>
        <w:t>recursos</w:t>
      </w:r>
      <w:r>
        <w:rPr>
          <w:spacing w:val="40"/>
          <w:sz w:val="20"/>
        </w:rPr>
        <w:t> </w:t>
      </w:r>
      <w:r>
        <w:rPr>
          <w:sz w:val="20"/>
        </w:rPr>
        <w:t>del</w:t>
      </w:r>
      <w:r>
        <w:rPr>
          <w:spacing w:val="40"/>
          <w:sz w:val="20"/>
        </w:rPr>
        <w:t> </w:t>
      </w:r>
      <w:r>
        <w:rPr>
          <w:sz w:val="20"/>
        </w:rPr>
        <w:t>Fondo</w:t>
      </w:r>
      <w:r>
        <w:rPr>
          <w:spacing w:val="40"/>
          <w:sz w:val="20"/>
        </w:rPr>
        <w:t> </w:t>
      </w:r>
      <w:r>
        <w:rPr>
          <w:sz w:val="20"/>
        </w:rPr>
        <w:t>de</w:t>
      </w:r>
      <w:r>
        <w:rPr>
          <w:spacing w:val="40"/>
          <w:sz w:val="20"/>
        </w:rPr>
        <w:t> </w:t>
      </w:r>
      <w:r>
        <w:rPr>
          <w:sz w:val="20"/>
        </w:rPr>
        <w:t>Aportaciones</w:t>
      </w:r>
      <w:r>
        <w:rPr>
          <w:spacing w:val="40"/>
          <w:sz w:val="20"/>
        </w:rPr>
        <w:t> </w:t>
      </w:r>
      <w:r>
        <w:rPr>
          <w:sz w:val="20"/>
        </w:rPr>
        <w:t>para</w:t>
      </w:r>
      <w:r>
        <w:rPr>
          <w:spacing w:val="40"/>
          <w:sz w:val="20"/>
        </w:rPr>
        <w:t> </w:t>
      </w:r>
      <w:r>
        <w:rPr>
          <w:sz w:val="20"/>
        </w:rPr>
        <w:t>la</w:t>
      </w:r>
      <w:r>
        <w:rPr>
          <w:spacing w:val="40"/>
          <w:sz w:val="20"/>
        </w:rPr>
        <w:t> </w:t>
      </w:r>
      <w:r>
        <w:rPr>
          <w:sz w:val="20"/>
        </w:rPr>
        <w:t>Infraestructura</w:t>
      </w:r>
      <w:r>
        <w:rPr>
          <w:spacing w:val="40"/>
          <w:sz w:val="20"/>
        </w:rPr>
        <w:t> </w:t>
      </w:r>
      <w:r>
        <w:rPr>
          <w:sz w:val="20"/>
        </w:rPr>
        <w:t>Social,</w:t>
      </w:r>
      <w:r>
        <w:rPr>
          <w:spacing w:val="40"/>
          <w:sz w:val="20"/>
        </w:rPr>
        <w:t> </w:t>
      </w:r>
      <w:r>
        <w:rPr>
          <w:sz w:val="20"/>
        </w:rPr>
        <w:t>se</w:t>
      </w:r>
      <w:r>
        <w:rPr>
          <w:spacing w:val="40"/>
          <w:sz w:val="20"/>
        </w:rPr>
        <w:t> </w:t>
      </w:r>
      <w:r>
        <w:rPr>
          <w:sz w:val="20"/>
        </w:rPr>
        <w:t>destinarán</w:t>
      </w:r>
      <w:r>
        <w:rPr>
          <w:spacing w:val="40"/>
          <w:sz w:val="20"/>
        </w:rPr>
        <w:t> </w:t>
      </w:r>
      <w:r>
        <w:rPr>
          <w:sz w:val="20"/>
        </w:rPr>
        <w:t>a</w:t>
      </w:r>
      <w:r>
        <w:rPr>
          <w:spacing w:val="40"/>
          <w:sz w:val="20"/>
        </w:rPr>
        <w:t> </w:t>
      </w:r>
      <w:r>
        <w:rPr>
          <w:sz w:val="20"/>
        </w:rPr>
        <w:t>los siguientes rubros:</w:t>
      </w:r>
    </w:p>
    <w:p>
      <w:pPr>
        <w:pStyle w:val="ListParagraph"/>
        <w:numPr>
          <w:ilvl w:val="2"/>
          <w:numId w:val="11"/>
        </w:numPr>
        <w:tabs>
          <w:tab w:pos="1153" w:val="left" w:leader="none"/>
        </w:tabs>
        <w:spacing w:line="240" w:lineRule="auto" w:before="229" w:after="0"/>
        <w:ind w:left="1153" w:right="144" w:hanging="432"/>
        <w:jc w:val="both"/>
        <w:rPr>
          <w:sz w:val="20"/>
        </w:rPr>
      </w:pPr>
      <w:r>
        <w:rPr>
          <w:sz w:val="20"/>
        </w:rPr>
        <w:t>Fondo de Aportaciones para la Infraestructura Social Municipal y de las Demarcaciones Territoriales del Distrito Federal: agua potable, alcantarillado, drenaje y letrinas,</w:t>
      </w:r>
      <w:r>
        <w:rPr>
          <w:spacing w:val="40"/>
          <w:sz w:val="20"/>
        </w:rPr>
        <w:t> </w:t>
      </w:r>
      <w:r>
        <w:rPr>
          <w:sz w:val="20"/>
        </w:rPr>
        <w:t>urbanización, electrificación rural y de colonias pobres, infraestructura básica del sector</w:t>
      </w:r>
      <w:r>
        <w:rPr>
          <w:spacing w:val="40"/>
          <w:sz w:val="20"/>
        </w:rPr>
        <w:t> </w:t>
      </w:r>
      <w:r>
        <w:rPr>
          <w:sz w:val="20"/>
        </w:rPr>
        <w:t>salud y educativo, mejoramiento de vivienda, así como mantenimiento de infraestructura, conforme a lo señalado en el catálogo de acciones establecido en los Lineamientos del Fondo que emita la Secretaría de Desarrollo Social.</w:t>
      </w:r>
    </w:p>
    <w:p>
      <w:pPr>
        <w:pStyle w:val="BodyText"/>
      </w:pPr>
    </w:p>
    <w:p>
      <w:pPr>
        <w:pStyle w:val="ListParagraph"/>
        <w:numPr>
          <w:ilvl w:val="2"/>
          <w:numId w:val="11"/>
        </w:numPr>
        <w:tabs>
          <w:tab w:pos="1150" w:val="left" w:leader="none"/>
          <w:tab w:pos="1153" w:val="left" w:leader="none"/>
        </w:tabs>
        <w:spacing w:line="240" w:lineRule="auto" w:before="0" w:after="0"/>
        <w:ind w:left="1153" w:right="144" w:hanging="432"/>
        <w:jc w:val="both"/>
        <w:rPr>
          <w:sz w:val="20"/>
        </w:rPr>
      </w:pPr>
      <w:r>
        <w:rPr>
          <w:sz w:val="20"/>
        </w:rPr>
        <w:t>Fondo de Infraestructura Social para las Entidades: obras y acciones que beneficien preferentemente a la población de los municipios, demarcaciones territoriales y localidades que presenten mayores niveles de rezago social y pobreza extrema en la entidad.</w:t>
      </w:r>
    </w:p>
    <w:p>
      <w:pPr>
        <w:pStyle w:val="BodyText"/>
        <w:spacing w:before="2"/>
      </w:pPr>
    </w:p>
    <w:p>
      <w:pPr>
        <w:pStyle w:val="BodyText"/>
        <w:ind w:left="721" w:right="145"/>
        <w:jc w:val="both"/>
      </w:pPr>
      <w:r>
        <w:rPr/>
        <w:t>Asimismo, las obras y acciones que se realicen con los recursos del fondo a que se refiere este artículo, se deberán orientar preferentemente conforme al Informe anual de la situación de pobreza y rezago social de las entidades y sus respectivos municipios o demarcaciones territoriales que realice la Secretaría de Desarrollo Social, mismo que se deberá publicar en el Diario Oficial de la Federación a más tardar el último día hábil de enero.</w:t>
      </w:r>
    </w:p>
    <w:p>
      <w:pPr>
        <w:pStyle w:val="BodyText"/>
      </w:pPr>
    </w:p>
    <w:p>
      <w:pPr>
        <w:pStyle w:val="BodyText"/>
        <w:ind w:left="721" w:right="142"/>
        <w:jc w:val="both"/>
      </w:pPr>
      <w:r>
        <w:rPr/>
        <w:t>En el caso de los municipios y</w:t>
      </w:r>
      <w:r>
        <w:rPr>
          <w:spacing w:val="-2"/>
        </w:rPr>
        <w:t> </w:t>
      </w:r>
      <w:r>
        <w:rPr/>
        <w:t>de las demarcaciones territoriales, éstos podrán disponer de hasta un 2% del total de recursos del Fondo para la Infraestructura Social Municipal y de las Demarcaciones Territoriales del Distrito Federal que les correspondan para la realización de un Programa de Desarrollo Institucional Municipal y de las Demarcaciones Territoriales del Distrito Federal. Este programa será convenido entre el Ejecutivo Federal a través de la Secretaría de Desarrollo Social, el Gobierno de la entidad correspondiente y el municipio o demarcación territorial de que se trate. Los recursos de este programa podrán utilizarse para la elaboración de proyectos con la finalidad de fortalecer las capacidades de gestión del municipio o demarcación territorial,</w:t>
      </w:r>
      <w:r>
        <w:rPr>
          <w:spacing w:val="-1"/>
        </w:rPr>
        <w:t> </w:t>
      </w:r>
      <w:r>
        <w:rPr/>
        <w:t>de</w:t>
      </w:r>
      <w:r>
        <w:rPr>
          <w:spacing w:val="-3"/>
        </w:rPr>
        <w:t> </w:t>
      </w:r>
      <w:r>
        <w:rPr/>
        <w:t>acuerdo</w:t>
      </w:r>
      <w:r>
        <w:rPr>
          <w:spacing w:val="-1"/>
        </w:rPr>
        <w:t> </w:t>
      </w:r>
      <w:r>
        <w:rPr/>
        <w:t>con</w:t>
      </w:r>
      <w:r>
        <w:rPr>
          <w:spacing w:val="-1"/>
        </w:rPr>
        <w:t> </w:t>
      </w:r>
      <w:r>
        <w:rPr/>
        <w:t>lo</w:t>
      </w:r>
      <w:r>
        <w:rPr>
          <w:spacing w:val="-3"/>
        </w:rPr>
        <w:t> </w:t>
      </w:r>
      <w:r>
        <w:rPr/>
        <w:t>señalado</w:t>
      </w:r>
      <w:r>
        <w:rPr>
          <w:spacing w:val="-1"/>
        </w:rPr>
        <w:t> </w:t>
      </w:r>
      <w:r>
        <w:rPr/>
        <w:t>en</w:t>
      </w:r>
      <w:r>
        <w:rPr>
          <w:spacing w:val="-1"/>
        </w:rPr>
        <w:t> </w:t>
      </w:r>
      <w:r>
        <w:rPr/>
        <w:t>el</w:t>
      </w:r>
      <w:r>
        <w:rPr>
          <w:spacing w:val="-4"/>
        </w:rPr>
        <w:t> </w:t>
      </w:r>
      <w:r>
        <w:rPr/>
        <w:t>catálogo</w:t>
      </w:r>
      <w:r>
        <w:rPr>
          <w:spacing w:val="-3"/>
        </w:rPr>
        <w:t> </w:t>
      </w:r>
      <w:r>
        <w:rPr/>
        <w:t>de</w:t>
      </w:r>
      <w:r>
        <w:rPr>
          <w:spacing w:val="-3"/>
        </w:rPr>
        <w:t> </w:t>
      </w:r>
      <w:r>
        <w:rPr/>
        <w:t>acciones establecido</w:t>
      </w:r>
      <w:r>
        <w:rPr>
          <w:spacing w:val="-1"/>
        </w:rPr>
        <w:t> </w:t>
      </w:r>
      <w:r>
        <w:rPr/>
        <w:t>en</w:t>
      </w:r>
      <w:r>
        <w:rPr>
          <w:spacing w:val="-1"/>
        </w:rPr>
        <w:t> </w:t>
      </w:r>
      <w:r>
        <w:rPr/>
        <w:t>los</w:t>
      </w:r>
      <w:r>
        <w:rPr>
          <w:spacing w:val="-2"/>
        </w:rPr>
        <w:t> </w:t>
      </w:r>
      <w:r>
        <w:rPr/>
        <w:t>Lineamientos del Fondo que emita la Secretaría de Desarrollo Social.</w:t>
      </w:r>
    </w:p>
    <w:p>
      <w:pPr>
        <w:pStyle w:val="BodyText"/>
      </w:pPr>
    </w:p>
    <w:p>
      <w:pPr>
        <w:pStyle w:val="BodyText"/>
        <w:spacing w:before="1"/>
        <w:ind w:left="721" w:right="145"/>
        <w:jc w:val="both"/>
      </w:pPr>
      <w:r>
        <w:rPr/>
        <w:t>Adicionalmente, las entidades, los municipios o demarcaciones territoriales podrán destinar hasta el 3% de los recursos que les correspondan de este Fondo para ser aplicados como gastos indirectos</w:t>
      </w:r>
      <w:r>
        <w:rPr>
          <w:spacing w:val="21"/>
        </w:rPr>
        <w:t> </w:t>
      </w:r>
      <w:r>
        <w:rPr/>
        <w:t>para</w:t>
      </w:r>
      <w:r>
        <w:rPr>
          <w:spacing w:val="20"/>
        </w:rPr>
        <w:t> </w:t>
      </w:r>
      <w:r>
        <w:rPr/>
        <w:t>la</w:t>
      </w:r>
      <w:r>
        <w:rPr>
          <w:spacing w:val="23"/>
        </w:rPr>
        <w:t> </w:t>
      </w:r>
      <w:r>
        <w:rPr/>
        <w:t>verificación</w:t>
      </w:r>
      <w:r>
        <w:rPr>
          <w:spacing w:val="23"/>
        </w:rPr>
        <w:t> </w:t>
      </w:r>
      <w:r>
        <w:rPr/>
        <w:t>y</w:t>
      </w:r>
      <w:r>
        <w:rPr>
          <w:spacing w:val="15"/>
        </w:rPr>
        <w:t> </w:t>
      </w:r>
      <w:r>
        <w:rPr/>
        <w:t>seguimiento</w:t>
      </w:r>
      <w:r>
        <w:rPr>
          <w:spacing w:val="20"/>
        </w:rPr>
        <w:t> </w:t>
      </w:r>
      <w:r>
        <w:rPr/>
        <w:t>de</w:t>
      </w:r>
      <w:r>
        <w:rPr>
          <w:spacing w:val="20"/>
        </w:rPr>
        <w:t> </w:t>
      </w:r>
      <w:r>
        <w:rPr/>
        <w:t>las</w:t>
      </w:r>
      <w:r>
        <w:rPr>
          <w:spacing w:val="22"/>
        </w:rPr>
        <w:t> </w:t>
      </w:r>
      <w:r>
        <w:rPr/>
        <w:t>obras</w:t>
      </w:r>
      <w:r>
        <w:rPr>
          <w:spacing w:val="22"/>
        </w:rPr>
        <w:t> </w:t>
      </w:r>
      <w:r>
        <w:rPr/>
        <w:t>y</w:t>
      </w:r>
      <w:r>
        <w:rPr>
          <w:spacing w:val="17"/>
        </w:rPr>
        <w:t> </w:t>
      </w:r>
      <w:r>
        <w:rPr/>
        <w:t>acciones</w:t>
      </w:r>
      <w:r>
        <w:rPr>
          <w:spacing w:val="22"/>
        </w:rPr>
        <w:t> </w:t>
      </w:r>
      <w:r>
        <w:rPr/>
        <w:t>que</w:t>
      </w:r>
      <w:r>
        <w:rPr>
          <w:spacing w:val="20"/>
        </w:rPr>
        <w:t> </w:t>
      </w:r>
      <w:r>
        <w:rPr/>
        <w:t>se</w:t>
      </w:r>
      <w:r>
        <w:rPr>
          <w:spacing w:val="18"/>
        </w:rPr>
        <w:t> </w:t>
      </w:r>
      <w:r>
        <w:rPr/>
        <w:t>realicen,</w:t>
      </w:r>
      <w:r>
        <w:rPr>
          <w:spacing w:val="20"/>
        </w:rPr>
        <w:t> </w:t>
      </w:r>
      <w:r>
        <w:rPr/>
        <w:t>así</w:t>
      </w:r>
      <w:r>
        <w:rPr>
          <w:spacing w:val="18"/>
        </w:rPr>
        <w:t> </w:t>
      </w:r>
      <w:r>
        <w:rPr/>
        <w:t>como</w:t>
      </w:r>
    </w:p>
    <w:p>
      <w:pPr>
        <w:pStyle w:val="BodyText"/>
        <w:spacing w:after="0"/>
        <w:jc w:val="both"/>
        <w:sectPr>
          <w:pgSz w:w="12250" w:h="15850"/>
          <w:pgMar w:header="724" w:footer="712" w:top="1880" w:bottom="900" w:left="1417" w:right="1275"/>
        </w:sectPr>
      </w:pPr>
    </w:p>
    <w:p>
      <w:pPr>
        <w:pStyle w:val="BodyText"/>
        <w:spacing w:before="67"/>
      </w:pPr>
    </w:p>
    <w:p>
      <w:pPr>
        <w:pStyle w:val="BodyText"/>
        <w:ind w:left="721"/>
      </w:pPr>
      <w:r>
        <w:rPr/>
        <w:t>para</w:t>
      </w:r>
      <w:r>
        <w:rPr>
          <w:spacing w:val="70"/>
        </w:rPr>
        <w:t> </w:t>
      </w:r>
      <w:r>
        <w:rPr/>
        <w:t>la</w:t>
      </w:r>
      <w:r>
        <w:rPr>
          <w:spacing w:val="70"/>
        </w:rPr>
        <w:t> </w:t>
      </w:r>
      <w:r>
        <w:rPr/>
        <w:t>realización</w:t>
      </w:r>
      <w:r>
        <w:rPr>
          <w:spacing w:val="70"/>
        </w:rPr>
        <w:t> </w:t>
      </w:r>
      <w:r>
        <w:rPr/>
        <w:t>de</w:t>
      </w:r>
      <w:r>
        <w:rPr>
          <w:spacing w:val="70"/>
        </w:rPr>
        <w:t> </w:t>
      </w:r>
      <w:r>
        <w:rPr/>
        <w:t>estudios</w:t>
      </w:r>
      <w:r>
        <w:rPr>
          <w:spacing w:val="76"/>
        </w:rPr>
        <w:t> </w:t>
      </w:r>
      <w:r>
        <w:rPr/>
        <w:t>y</w:t>
      </w:r>
      <w:r>
        <w:rPr>
          <w:spacing w:val="67"/>
        </w:rPr>
        <w:t> </w:t>
      </w:r>
      <w:r>
        <w:rPr/>
        <w:t>la</w:t>
      </w:r>
      <w:r>
        <w:rPr>
          <w:spacing w:val="70"/>
        </w:rPr>
        <w:t> </w:t>
      </w:r>
      <w:r>
        <w:rPr/>
        <w:t>evaluación</w:t>
      </w:r>
      <w:r>
        <w:rPr>
          <w:spacing w:val="72"/>
        </w:rPr>
        <w:t> </w:t>
      </w:r>
      <w:r>
        <w:rPr/>
        <w:t>de</w:t>
      </w:r>
      <w:r>
        <w:rPr>
          <w:spacing w:val="70"/>
        </w:rPr>
        <w:t> </w:t>
      </w:r>
      <w:r>
        <w:rPr/>
        <w:t>proyectos</w:t>
      </w:r>
      <w:r>
        <w:rPr>
          <w:spacing w:val="71"/>
        </w:rPr>
        <w:t> </w:t>
      </w:r>
      <w:r>
        <w:rPr/>
        <w:t>que</w:t>
      </w:r>
      <w:r>
        <w:rPr>
          <w:spacing w:val="70"/>
        </w:rPr>
        <w:t> </w:t>
      </w:r>
      <w:r>
        <w:rPr/>
        <w:t>cumplan</w:t>
      </w:r>
      <w:r>
        <w:rPr>
          <w:spacing w:val="70"/>
        </w:rPr>
        <w:t> </w:t>
      </w:r>
      <w:r>
        <w:rPr/>
        <w:t>con</w:t>
      </w:r>
      <w:r>
        <w:rPr>
          <w:spacing w:val="72"/>
        </w:rPr>
        <w:t> </w:t>
      </w:r>
      <w:r>
        <w:rPr/>
        <w:t>los</w:t>
      </w:r>
      <w:r>
        <w:rPr>
          <w:spacing w:val="71"/>
        </w:rPr>
        <w:t> </w:t>
      </w:r>
      <w:r>
        <w:rPr/>
        <w:t>fines específicos a que se refiere este artículo.</w:t>
      </w:r>
    </w:p>
    <w:p>
      <w:pPr>
        <w:pStyle w:val="ListParagraph"/>
        <w:numPr>
          <w:ilvl w:val="1"/>
          <w:numId w:val="11"/>
        </w:numPr>
        <w:tabs>
          <w:tab w:pos="721" w:val="left" w:leader="none"/>
        </w:tabs>
        <w:spacing w:line="242" w:lineRule="auto" w:before="227" w:after="0"/>
        <w:ind w:left="721" w:right="149" w:hanging="432"/>
        <w:jc w:val="left"/>
        <w:rPr>
          <w:sz w:val="20"/>
        </w:rPr>
      </w:pPr>
      <w:r>
        <w:rPr>
          <w:sz w:val="20"/>
        </w:rPr>
        <w:t>La Secretaría de Desarrollo Social, las entidades y los municipios o demarcaciones territoriales y la Secretaría de Hacienda y Crédito Público, tendrán las siguientes obligaciones:</w:t>
      </w:r>
    </w:p>
    <w:p>
      <w:pPr>
        <w:pStyle w:val="ListParagraph"/>
        <w:numPr>
          <w:ilvl w:val="2"/>
          <w:numId w:val="11"/>
        </w:numPr>
        <w:tabs>
          <w:tab w:pos="1153" w:val="left" w:leader="none"/>
        </w:tabs>
        <w:spacing w:line="240" w:lineRule="auto" w:before="227" w:after="0"/>
        <w:ind w:left="1153" w:right="0" w:hanging="432"/>
        <w:jc w:val="left"/>
        <w:rPr>
          <w:sz w:val="20"/>
        </w:rPr>
      </w:pPr>
      <w:r>
        <w:rPr>
          <w:sz w:val="20"/>
        </w:rPr>
        <w:t>De</w:t>
      </w:r>
      <w:r>
        <w:rPr>
          <w:spacing w:val="-7"/>
          <w:sz w:val="20"/>
        </w:rPr>
        <w:t> </w:t>
      </w:r>
      <w:r>
        <w:rPr>
          <w:sz w:val="20"/>
        </w:rPr>
        <w:t>la</w:t>
      </w:r>
      <w:r>
        <w:rPr>
          <w:spacing w:val="-7"/>
          <w:sz w:val="20"/>
        </w:rPr>
        <w:t> </w:t>
      </w:r>
      <w:r>
        <w:rPr>
          <w:sz w:val="20"/>
        </w:rPr>
        <w:t>Secretaría</w:t>
      </w:r>
      <w:r>
        <w:rPr>
          <w:spacing w:val="-5"/>
          <w:sz w:val="20"/>
        </w:rPr>
        <w:t> </w:t>
      </w:r>
      <w:r>
        <w:rPr>
          <w:sz w:val="20"/>
        </w:rPr>
        <w:t>de</w:t>
      </w:r>
      <w:r>
        <w:rPr>
          <w:spacing w:val="-8"/>
          <w:sz w:val="20"/>
        </w:rPr>
        <w:t> </w:t>
      </w:r>
      <w:r>
        <w:rPr>
          <w:sz w:val="20"/>
        </w:rPr>
        <w:t>Desarrollo</w:t>
      </w:r>
      <w:r>
        <w:rPr>
          <w:spacing w:val="-7"/>
          <w:sz w:val="20"/>
        </w:rPr>
        <w:t> </w:t>
      </w:r>
      <w:r>
        <w:rPr>
          <w:spacing w:val="-2"/>
          <w:sz w:val="20"/>
        </w:rPr>
        <w:t>Social:</w:t>
      </w:r>
    </w:p>
    <w:p>
      <w:pPr>
        <w:pStyle w:val="ListParagraph"/>
        <w:numPr>
          <w:ilvl w:val="3"/>
          <w:numId w:val="11"/>
        </w:numPr>
        <w:tabs>
          <w:tab w:pos="1581" w:val="left" w:leader="none"/>
          <w:tab w:pos="1583" w:val="left" w:leader="none"/>
        </w:tabs>
        <w:spacing w:line="242" w:lineRule="auto" w:before="228" w:after="0"/>
        <w:ind w:left="1583" w:right="142" w:hanging="430"/>
        <w:jc w:val="both"/>
        <w:rPr>
          <w:sz w:val="20"/>
        </w:rPr>
      </w:pPr>
      <w:r>
        <w:rPr>
          <w:sz w:val="20"/>
        </w:rPr>
        <w:t>Publicar el Informe</w:t>
      </w:r>
      <w:r>
        <w:rPr>
          <w:spacing w:val="-1"/>
          <w:sz w:val="20"/>
        </w:rPr>
        <w:t> </w:t>
      </w:r>
      <w:r>
        <w:rPr>
          <w:sz w:val="20"/>
        </w:rPr>
        <w:t>anual</w:t>
      </w:r>
      <w:r>
        <w:rPr>
          <w:spacing w:val="-2"/>
          <w:sz w:val="20"/>
        </w:rPr>
        <w:t> </w:t>
      </w:r>
      <w:r>
        <w:rPr>
          <w:sz w:val="20"/>
        </w:rPr>
        <w:t>sobre la</w:t>
      </w:r>
      <w:r>
        <w:rPr>
          <w:spacing w:val="-1"/>
          <w:sz w:val="20"/>
        </w:rPr>
        <w:t> </w:t>
      </w:r>
      <w:r>
        <w:rPr>
          <w:sz w:val="20"/>
        </w:rPr>
        <w:t>situación de pobreza y</w:t>
      </w:r>
      <w:r>
        <w:rPr>
          <w:spacing w:val="-2"/>
          <w:sz w:val="20"/>
        </w:rPr>
        <w:t> </w:t>
      </w:r>
      <w:r>
        <w:rPr>
          <w:sz w:val="20"/>
        </w:rPr>
        <w:t>rezago</w:t>
      </w:r>
      <w:r>
        <w:rPr>
          <w:spacing w:val="-1"/>
          <w:sz w:val="20"/>
        </w:rPr>
        <w:t> </w:t>
      </w:r>
      <w:r>
        <w:rPr>
          <w:sz w:val="20"/>
        </w:rPr>
        <w:t>social de las entidades y sus respectivos municipios o demarcaciones territoriales, con base en lo que</w:t>
      </w:r>
      <w:r>
        <w:rPr>
          <w:spacing w:val="40"/>
          <w:sz w:val="20"/>
        </w:rPr>
        <w:t> </w:t>
      </w:r>
      <w:r>
        <w:rPr>
          <w:sz w:val="20"/>
        </w:rPr>
        <w:t>establece la Ley General de Desarrollo Social, para la medición de la pobreza, y</w:t>
      </w:r>
    </w:p>
    <w:p>
      <w:pPr>
        <w:pStyle w:val="ListParagraph"/>
        <w:numPr>
          <w:ilvl w:val="3"/>
          <w:numId w:val="11"/>
        </w:numPr>
        <w:tabs>
          <w:tab w:pos="1581" w:val="left" w:leader="none"/>
          <w:tab w:pos="1583" w:val="left" w:leader="none"/>
        </w:tabs>
        <w:spacing w:line="240" w:lineRule="auto" w:before="225" w:after="0"/>
        <w:ind w:left="1583" w:right="138" w:hanging="430"/>
        <w:jc w:val="both"/>
        <w:rPr>
          <w:sz w:val="20"/>
        </w:rPr>
      </w:pPr>
      <w:r>
        <w:rPr>
          <w:sz w:val="20"/>
        </w:rPr>
        <w:t>Proporcionar capacitación a las entidades y a sus respectivos municipios o demarcaciones territoriales, sobre el funcionamiento del Fondo de Aportaciones para la Infraestructura Social Municipal y de las Demarcaciones Territoriales del Distrito Federal,</w:t>
      </w:r>
      <w:r>
        <w:rPr>
          <w:spacing w:val="-1"/>
          <w:sz w:val="20"/>
        </w:rPr>
        <w:t> </w:t>
      </w:r>
      <w:r>
        <w:rPr>
          <w:sz w:val="20"/>
        </w:rPr>
        <w:t>del</w:t>
      </w:r>
      <w:r>
        <w:rPr>
          <w:spacing w:val="-2"/>
          <w:sz w:val="20"/>
        </w:rPr>
        <w:t> </w:t>
      </w:r>
      <w:r>
        <w:rPr>
          <w:sz w:val="20"/>
        </w:rPr>
        <w:t>Fondo</w:t>
      </w:r>
      <w:r>
        <w:rPr>
          <w:spacing w:val="-1"/>
          <w:sz w:val="20"/>
        </w:rPr>
        <w:t> </w:t>
      </w:r>
      <w:r>
        <w:rPr>
          <w:sz w:val="20"/>
        </w:rPr>
        <w:t>de Aportaciones para</w:t>
      </w:r>
      <w:r>
        <w:rPr>
          <w:spacing w:val="-1"/>
          <w:sz w:val="20"/>
        </w:rPr>
        <w:t> </w:t>
      </w:r>
      <w:r>
        <w:rPr>
          <w:sz w:val="20"/>
        </w:rPr>
        <w:t>la</w:t>
      </w:r>
      <w:r>
        <w:rPr>
          <w:spacing w:val="-1"/>
          <w:sz w:val="20"/>
        </w:rPr>
        <w:t> </w:t>
      </w:r>
      <w:r>
        <w:rPr>
          <w:sz w:val="20"/>
        </w:rPr>
        <w:t>Infraestructura</w:t>
      </w:r>
      <w:r>
        <w:rPr>
          <w:spacing w:val="-1"/>
          <w:sz w:val="20"/>
        </w:rPr>
        <w:t> </w:t>
      </w:r>
      <w:r>
        <w:rPr>
          <w:sz w:val="20"/>
        </w:rPr>
        <w:t>Social</w:t>
      </w:r>
      <w:r>
        <w:rPr>
          <w:spacing w:val="-2"/>
          <w:sz w:val="20"/>
        </w:rPr>
        <w:t> </w:t>
      </w:r>
      <w:r>
        <w:rPr>
          <w:sz w:val="20"/>
        </w:rPr>
        <w:t>de</w:t>
      </w:r>
      <w:r>
        <w:rPr>
          <w:spacing w:val="-1"/>
          <w:sz w:val="20"/>
        </w:rPr>
        <w:t> </w:t>
      </w:r>
      <w:r>
        <w:rPr>
          <w:sz w:val="20"/>
        </w:rPr>
        <w:t>las Entidades y</w:t>
      </w:r>
      <w:r>
        <w:rPr>
          <w:spacing w:val="-7"/>
          <w:sz w:val="20"/>
        </w:rPr>
        <w:t> </w:t>
      </w:r>
      <w:r>
        <w:rPr>
          <w:sz w:val="20"/>
        </w:rPr>
        <w:t>del Programa de Desarrollo Institucional Municipal y de las Demarcaciones Territoriales del Distrito Federal,</w:t>
      </w:r>
      <w:r>
        <w:rPr>
          <w:spacing w:val="-1"/>
          <w:sz w:val="20"/>
        </w:rPr>
        <w:t> </w:t>
      </w:r>
      <w:r>
        <w:rPr>
          <w:sz w:val="20"/>
        </w:rPr>
        <w:t>en</w:t>
      </w:r>
      <w:r>
        <w:rPr>
          <w:spacing w:val="-1"/>
          <w:sz w:val="20"/>
        </w:rPr>
        <w:t> </w:t>
      </w:r>
      <w:r>
        <w:rPr>
          <w:sz w:val="20"/>
        </w:rPr>
        <w:t>términos de lo establecido en los Lineamientos del Fondo que emita la Secretaría de Desarrollo Social;</w:t>
      </w:r>
    </w:p>
    <w:p>
      <w:pPr>
        <w:pStyle w:val="ListParagraph"/>
        <w:numPr>
          <w:ilvl w:val="2"/>
          <w:numId w:val="11"/>
        </w:numPr>
        <w:tabs>
          <w:tab w:pos="1153" w:val="left" w:leader="none"/>
        </w:tabs>
        <w:spacing w:line="240" w:lineRule="auto" w:before="229" w:after="0"/>
        <w:ind w:left="1153" w:right="0" w:hanging="432"/>
        <w:jc w:val="left"/>
        <w:rPr>
          <w:sz w:val="20"/>
        </w:rPr>
      </w:pPr>
      <w:r>
        <w:rPr>
          <w:sz w:val="20"/>
        </w:rPr>
        <w:t>De</w:t>
      </w:r>
      <w:r>
        <w:rPr>
          <w:spacing w:val="-9"/>
          <w:sz w:val="20"/>
        </w:rPr>
        <w:t> </w:t>
      </w:r>
      <w:r>
        <w:rPr>
          <w:sz w:val="20"/>
        </w:rPr>
        <w:t>las</w:t>
      </w:r>
      <w:r>
        <w:rPr>
          <w:spacing w:val="-8"/>
          <w:sz w:val="20"/>
        </w:rPr>
        <w:t> </w:t>
      </w:r>
      <w:r>
        <w:rPr>
          <w:sz w:val="20"/>
        </w:rPr>
        <w:t>entidades,</w:t>
      </w:r>
      <w:r>
        <w:rPr>
          <w:spacing w:val="-8"/>
          <w:sz w:val="20"/>
        </w:rPr>
        <w:t> </w:t>
      </w:r>
      <w:r>
        <w:rPr>
          <w:sz w:val="20"/>
        </w:rPr>
        <w:t>municipios</w:t>
      </w:r>
      <w:r>
        <w:rPr>
          <w:spacing w:val="-6"/>
          <w:sz w:val="20"/>
        </w:rPr>
        <w:t> </w:t>
      </w:r>
      <w:r>
        <w:rPr>
          <w:sz w:val="20"/>
        </w:rPr>
        <w:t>y</w:t>
      </w:r>
      <w:r>
        <w:rPr>
          <w:spacing w:val="-11"/>
          <w:sz w:val="20"/>
        </w:rPr>
        <w:t> </w:t>
      </w:r>
      <w:r>
        <w:rPr>
          <w:sz w:val="20"/>
        </w:rPr>
        <w:t>demarcaciones</w:t>
      </w:r>
      <w:r>
        <w:rPr>
          <w:spacing w:val="-8"/>
          <w:sz w:val="20"/>
        </w:rPr>
        <w:t> </w:t>
      </w:r>
      <w:r>
        <w:rPr>
          <w:spacing w:val="-2"/>
          <w:sz w:val="20"/>
        </w:rPr>
        <w:t>territoriales:</w:t>
      </w:r>
    </w:p>
    <w:p>
      <w:pPr>
        <w:pStyle w:val="BodyText"/>
      </w:pPr>
    </w:p>
    <w:p>
      <w:pPr>
        <w:pStyle w:val="ListParagraph"/>
        <w:numPr>
          <w:ilvl w:val="3"/>
          <w:numId w:val="11"/>
        </w:numPr>
        <w:tabs>
          <w:tab w:pos="1581" w:val="left" w:leader="none"/>
          <w:tab w:pos="1583" w:val="left" w:leader="none"/>
        </w:tabs>
        <w:spacing w:line="242" w:lineRule="auto" w:before="1" w:after="0"/>
        <w:ind w:left="1583" w:right="144" w:hanging="430"/>
        <w:jc w:val="both"/>
        <w:rPr>
          <w:sz w:val="20"/>
        </w:rPr>
      </w:pPr>
      <w:r>
        <w:rPr>
          <w:sz w:val="20"/>
        </w:rPr>
        <w:t>Hacer del conocimiento de sus habitantes, al menos a través de la página oficial de Internet de la entidad federativa conforme a los lineamientos de información pública financiera en línea del Consejo de Armonización Contable, los montos que reciban, las obras y acciones a realizar, el costo de cada una, su ubicación, metas y beneficiarios;</w:t>
      </w:r>
    </w:p>
    <w:p>
      <w:pPr>
        <w:pStyle w:val="ListParagraph"/>
        <w:numPr>
          <w:ilvl w:val="3"/>
          <w:numId w:val="11"/>
        </w:numPr>
        <w:tabs>
          <w:tab w:pos="1581" w:val="left" w:leader="none"/>
          <w:tab w:pos="1583" w:val="left" w:leader="none"/>
        </w:tabs>
        <w:spacing w:line="242" w:lineRule="auto" w:before="221" w:after="0"/>
        <w:ind w:left="1583" w:right="145" w:hanging="430"/>
        <w:jc w:val="both"/>
        <w:rPr>
          <w:sz w:val="20"/>
        </w:rPr>
      </w:pPr>
      <w:r>
        <w:rPr>
          <w:sz w:val="20"/>
        </w:rPr>
        <w:t>Promover la participación de las comunidades beneficiarias en su destino, aplicación y vigilancia,</w:t>
      </w:r>
      <w:r>
        <w:rPr>
          <w:spacing w:val="-2"/>
          <w:sz w:val="20"/>
        </w:rPr>
        <w:t> </w:t>
      </w:r>
      <w:r>
        <w:rPr>
          <w:sz w:val="20"/>
        </w:rPr>
        <w:t>así</w:t>
      </w:r>
      <w:r>
        <w:rPr>
          <w:spacing w:val="-4"/>
          <w:sz w:val="20"/>
        </w:rPr>
        <w:t> </w:t>
      </w:r>
      <w:r>
        <w:rPr>
          <w:sz w:val="20"/>
        </w:rPr>
        <w:t>como</w:t>
      </w:r>
      <w:r>
        <w:rPr>
          <w:spacing w:val="-4"/>
          <w:sz w:val="20"/>
        </w:rPr>
        <w:t> </w:t>
      </w:r>
      <w:r>
        <w:rPr>
          <w:sz w:val="20"/>
        </w:rPr>
        <w:t>en</w:t>
      </w:r>
      <w:r>
        <w:rPr>
          <w:spacing w:val="-2"/>
          <w:sz w:val="20"/>
        </w:rPr>
        <w:t> </w:t>
      </w:r>
      <w:r>
        <w:rPr>
          <w:sz w:val="20"/>
        </w:rPr>
        <w:t>la</w:t>
      </w:r>
      <w:r>
        <w:rPr>
          <w:spacing w:val="-2"/>
          <w:sz w:val="20"/>
        </w:rPr>
        <w:t> </w:t>
      </w:r>
      <w:r>
        <w:rPr>
          <w:sz w:val="20"/>
        </w:rPr>
        <w:t>programación,</w:t>
      </w:r>
      <w:r>
        <w:rPr>
          <w:spacing w:val="-4"/>
          <w:sz w:val="20"/>
        </w:rPr>
        <w:t> </w:t>
      </w:r>
      <w:r>
        <w:rPr>
          <w:sz w:val="20"/>
        </w:rPr>
        <w:t>ejecución,</w:t>
      </w:r>
      <w:r>
        <w:rPr>
          <w:spacing w:val="-2"/>
          <w:sz w:val="20"/>
        </w:rPr>
        <w:t> </w:t>
      </w:r>
      <w:r>
        <w:rPr>
          <w:sz w:val="20"/>
        </w:rPr>
        <w:t>control,</w:t>
      </w:r>
      <w:r>
        <w:rPr>
          <w:spacing w:val="-2"/>
          <w:sz w:val="20"/>
        </w:rPr>
        <w:t> </w:t>
      </w:r>
      <w:r>
        <w:rPr>
          <w:sz w:val="20"/>
        </w:rPr>
        <w:t>seguimiento y</w:t>
      </w:r>
      <w:r>
        <w:rPr>
          <w:spacing w:val="-5"/>
          <w:sz w:val="20"/>
        </w:rPr>
        <w:t> </w:t>
      </w:r>
      <w:r>
        <w:rPr>
          <w:sz w:val="20"/>
        </w:rPr>
        <w:t>evaluación</w:t>
      </w:r>
      <w:r>
        <w:rPr>
          <w:spacing w:val="-3"/>
          <w:sz w:val="20"/>
        </w:rPr>
        <w:t> </w:t>
      </w:r>
      <w:r>
        <w:rPr>
          <w:sz w:val="20"/>
        </w:rPr>
        <w:t>de las obras y acciones que se vayan a realizar;</w:t>
      </w:r>
    </w:p>
    <w:p>
      <w:pPr>
        <w:pStyle w:val="ListParagraph"/>
        <w:numPr>
          <w:ilvl w:val="3"/>
          <w:numId w:val="11"/>
        </w:numPr>
        <w:tabs>
          <w:tab w:pos="1581" w:val="left" w:leader="none"/>
          <w:tab w:pos="1583" w:val="left" w:leader="none"/>
        </w:tabs>
        <w:spacing w:line="240" w:lineRule="auto" w:before="222" w:after="0"/>
        <w:ind w:left="1583" w:right="141" w:hanging="430"/>
        <w:jc w:val="both"/>
        <w:rPr>
          <w:sz w:val="20"/>
        </w:rPr>
      </w:pPr>
      <w:r>
        <w:rPr>
          <w:sz w:val="20"/>
        </w:rPr>
        <w:t>Informar a sus habitantes los avances del ejercicio de los recursos trimestralmente y al término de cada ejercicio, sobre los resultados alcanzados; al menos a través de la página oficial de Internet de la entidad federativa, conforme a los lineamientos de información</w:t>
      </w:r>
      <w:r>
        <w:rPr>
          <w:spacing w:val="-5"/>
          <w:sz w:val="20"/>
        </w:rPr>
        <w:t> </w:t>
      </w:r>
      <w:r>
        <w:rPr>
          <w:sz w:val="20"/>
        </w:rPr>
        <w:t>pública</w:t>
      </w:r>
      <w:r>
        <w:rPr>
          <w:spacing w:val="-2"/>
          <w:sz w:val="20"/>
        </w:rPr>
        <w:t> </w:t>
      </w:r>
      <w:r>
        <w:rPr>
          <w:sz w:val="20"/>
        </w:rPr>
        <w:t>del</w:t>
      </w:r>
      <w:r>
        <w:rPr>
          <w:spacing w:val="-3"/>
          <w:sz w:val="20"/>
        </w:rPr>
        <w:t> </w:t>
      </w:r>
      <w:r>
        <w:rPr>
          <w:sz w:val="20"/>
        </w:rPr>
        <w:t>Consejo</w:t>
      </w:r>
      <w:r>
        <w:rPr>
          <w:spacing w:val="-4"/>
          <w:sz w:val="20"/>
        </w:rPr>
        <w:t> </w:t>
      </w:r>
      <w:r>
        <w:rPr>
          <w:sz w:val="20"/>
        </w:rPr>
        <w:t>Nacional</w:t>
      </w:r>
      <w:r>
        <w:rPr>
          <w:spacing w:val="-3"/>
          <w:sz w:val="20"/>
        </w:rPr>
        <w:t> </w:t>
      </w:r>
      <w:r>
        <w:rPr>
          <w:sz w:val="20"/>
        </w:rPr>
        <w:t>de</w:t>
      </w:r>
      <w:r>
        <w:rPr>
          <w:spacing w:val="-2"/>
          <w:sz w:val="20"/>
        </w:rPr>
        <w:t> </w:t>
      </w:r>
      <w:r>
        <w:rPr>
          <w:sz w:val="20"/>
        </w:rPr>
        <w:t>Armonización</w:t>
      </w:r>
      <w:r>
        <w:rPr>
          <w:spacing w:val="-2"/>
          <w:sz w:val="20"/>
        </w:rPr>
        <w:t> </w:t>
      </w:r>
      <w:r>
        <w:rPr>
          <w:sz w:val="20"/>
        </w:rPr>
        <w:t>Contable,</w:t>
      </w:r>
      <w:r>
        <w:rPr>
          <w:spacing w:val="-2"/>
          <w:sz w:val="20"/>
        </w:rPr>
        <w:t> </w:t>
      </w:r>
      <w:r>
        <w:rPr>
          <w:sz w:val="20"/>
        </w:rPr>
        <w:t>en</w:t>
      </w:r>
      <w:r>
        <w:rPr>
          <w:spacing w:val="-2"/>
          <w:sz w:val="20"/>
        </w:rPr>
        <w:t> </w:t>
      </w:r>
      <w:r>
        <w:rPr>
          <w:sz w:val="20"/>
        </w:rPr>
        <w:t>los</w:t>
      </w:r>
      <w:r>
        <w:rPr>
          <w:spacing w:val="-3"/>
          <w:sz w:val="20"/>
        </w:rPr>
        <w:t> </w:t>
      </w:r>
      <w:r>
        <w:rPr>
          <w:sz w:val="20"/>
        </w:rPr>
        <w:t>términos</w:t>
      </w:r>
      <w:r>
        <w:rPr>
          <w:spacing w:val="-1"/>
          <w:sz w:val="20"/>
        </w:rPr>
        <w:t> </w:t>
      </w:r>
      <w:r>
        <w:rPr>
          <w:sz w:val="20"/>
        </w:rPr>
        <w:t>de la Ley General de Contabilidad Gubernamental;</w:t>
      </w:r>
    </w:p>
    <w:p>
      <w:pPr>
        <w:pStyle w:val="BodyText"/>
      </w:pPr>
    </w:p>
    <w:p>
      <w:pPr>
        <w:pStyle w:val="ListParagraph"/>
        <w:numPr>
          <w:ilvl w:val="3"/>
          <w:numId w:val="11"/>
        </w:numPr>
        <w:tabs>
          <w:tab w:pos="1581" w:val="left" w:leader="none"/>
          <w:tab w:pos="1583" w:val="left" w:leader="none"/>
        </w:tabs>
        <w:spacing w:line="242" w:lineRule="auto" w:before="0" w:after="0"/>
        <w:ind w:left="1583" w:right="151" w:hanging="430"/>
        <w:jc w:val="both"/>
        <w:rPr>
          <w:sz w:val="20"/>
        </w:rPr>
      </w:pPr>
      <w:r>
        <w:rPr>
          <w:sz w:val="20"/>
        </w:rPr>
        <w:t>Proporcionar a</w:t>
      </w:r>
      <w:r>
        <w:rPr>
          <w:spacing w:val="-2"/>
          <w:sz w:val="20"/>
        </w:rPr>
        <w:t> </w:t>
      </w:r>
      <w:r>
        <w:rPr>
          <w:sz w:val="20"/>
        </w:rPr>
        <w:t>la Secretaría</w:t>
      </w:r>
      <w:r>
        <w:rPr>
          <w:spacing w:val="-2"/>
          <w:sz w:val="20"/>
        </w:rPr>
        <w:t> </w:t>
      </w:r>
      <w:r>
        <w:rPr>
          <w:sz w:val="20"/>
        </w:rPr>
        <w:t>de Desarrollo Social,</w:t>
      </w:r>
      <w:r>
        <w:rPr>
          <w:spacing w:val="-2"/>
          <w:sz w:val="20"/>
        </w:rPr>
        <w:t> </w:t>
      </w:r>
      <w:r>
        <w:rPr>
          <w:sz w:val="20"/>
        </w:rPr>
        <w:t>la información</w:t>
      </w:r>
      <w:r>
        <w:rPr>
          <w:spacing w:val="-3"/>
          <w:sz w:val="20"/>
        </w:rPr>
        <w:t> </w:t>
      </w:r>
      <w:r>
        <w:rPr>
          <w:sz w:val="20"/>
        </w:rPr>
        <w:t>que</w:t>
      </w:r>
      <w:r>
        <w:rPr>
          <w:spacing w:val="-2"/>
          <w:sz w:val="20"/>
        </w:rPr>
        <w:t> </w:t>
      </w:r>
      <w:r>
        <w:rPr>
          <w:sz w:val="20"/>
        </w:rPr>
        <w:t>sobre la utilización del</w:t>
      </w:r>
      <w:r>
        <w:rPr>
          <w:spacing w:val="-3"/>
          <w:sz w:val="20"/>
        </w:rPr>
        <w:t> </w:t>
      </w:r>
      <w:r>
        <w:rPr>
          <w:sz w:val="20"/>
        </w:rPr>
        <w:t>Fondo</w:t>
      </w:r>
      <w:r>
        <w:rPr>
          <w:spacing w:val="-3"/>
          <w:sz w:val="20"/>
        </w:rPr>
        <w:t> </w:t>
      </w:r>
      <w:r>
        <w:rPr>
          <w:sz w:val="20"/>
        </w:rPr>
        <w:t>de</w:t>
      </w:r>
      <w:r>
        <w:rPr>
          <w:spacing w:val="-3"/>
          <w:sz w:val="20"/>
        </w:rPr>
        <w:t> </w:t>
      </w:r>
      <w:r>
        <w:rPr>
          <w:sz w:val="20"/>
        </w:rPr>
        <w:t>Aportaciones</w:t>
      </w:r>
      <w:r>
        <w:rPr>
          <w:spacing w:val="-1"/>
          <w:sz w:val="20"/>
        </w:rPr>
        <w:t> </w:t>
      </w:r>
      <w:r>
        <w:rPr>
          <w:sz w:val="20"/>
        </w:rPr>
        <w:t>para</w:t>
      </w:r>
      <w:r>
        <w:rPr>
          <w:spacing w:val="-2"/>
          <w:sz w:val="20"/>
        </w:rPr>
        <w:t> </w:t>
      </w:r>
      <w:r>
        <w:rPr>
          <w:sz w:val="20"/>
        </w:rPr>
        <w:t>la</w:t>
      </w:r>
      <w:r>
        <w:rPr>
          <w:spacing w:val="-2"/>
          <w:sz w:val="20"/>
        </w:rPr>
        <w:t> </w:t>
      </w:r>
      <w:r>
        <w:rPr>
          <w:sz w:val="20"/>
        </w:rPr>
        <w:t>Infraestructura</w:t>
      </w:r>
      <w:r>
        <w:rPr>
          <w:spacing w:val="-2"/>
          <w:sz w:val="20"/>
        </w:rPr>
        <w:t> </w:t>
      </w:r>
      <w:r>
        <w:rPr>
          <w:sz w:val="20"/>
        </w:rPr>
        <w:t>Social</w:t>
      </w:r>
      <w:r>
        <w:rPr>
          <w:spacing w:val="-3"/>
          <w:sz w:val="20"/>
        </w:rPr>
        <w:t> </w:t>
      </w:r>
      <w:r>
        <w:rPr>
          <w:sz w:val="20"/>
        </w:rPr>
        <w:t>le</w:t>
      </w:r>
      <w:r>
        <w:rPr>
          <w:spacing w:val="-2"/>
          <w:sz w:val="20"/>
        </w:rPr>
        <w:t> </w:t>
      </w:r>
      <w:r>
        <w:rPr>
          <w:sz w:val="20"/>
        </w:rPr>
        <w:t>sea</w:t>
      </w:r>
      <w:r>
        <w:rPr>
          <w:spacing w:val="-5"/>
          <w:sz w:val="20"/>
        </w:rPr>
        <w:t> </w:t>
      </w:r>
      <w:r>
        <w:rPr>
          <w:sz w:val="20"/>
        </w:rPr>
        <w:t>requerida.</w:t>
      </w:r>
      <w:r>
        <w:rPr>
          <w:spacing w:val="-2"/>
          <w:sz w:val="20"/>
        </w:rPr>
        <w:t> </w:t>
      </w:r>
      <w:r>
        <w:rPr>
          <w:sz w:val="20"/>
        </w:rPr>
        <w:t>En</w:t>
      </w:r>
      <w:r>
        <w:rPr>
          <w:spacing w:val="-2"/>
          <w:sz w:val="20"/>
        </w:rPr>
        <w:t> </w:t>
      </w:r>
      <w:r>
        <w:rPr>
          <w:sz w:val="20"/>
        </w:rPr>
        <w:t>el</w:t>
      </w:r>
      <w:r>
        <w:rPr>
          <w:spacing w:val="-3"/>
          <w:sz w:val="20"/>
        </w:rPr>
        <w:t> </w:t>
      </w:r>
      <w:r>
        <w:rPr>
          <w:sz w:val="20"/>
        </w:rPr>
        <w:t>caso</w:t>
      </w:r>
      <w:r>
        <w:rPr>
          <w:spacing w:val="-4"/>
          <w:sz w:val="20"/>
        </w:rPr>
        <w:t> </w:t>
      </w:r>
      <w:r>
        <w:rPr>
          <w:sz w:val="20"/>
        </w:rPr>
        <w:t>de los municipios y de las demarcaciones territoriales, lo harán por conducto de las </w:t>
      </w:r>
      <w:r>
        <w:rPr>
          <w:spacing w:val="-2"/>
          <w:sz w:val="20"/>
        </w:rPr>
        <w:t>entidades;</w:t>
      </w:r>
    </w:p>
    <w:p>
      <w:pPr>
        <w:pStyle w:val="ListParagraph"/>
        <w:numPr>
          <w:ilvl w:val="3"/>
          <w:numId w:val="11"/>
        </w:numPr>
        <w:tabs>
          <w:tab w:pos="1581" w:val="left" w:leader="none"/>
          <w:tab w:pos="1583" w:val="left" w:leader="none"/>
        </w:tabs>
        <w:spacing w:line="240" w:lineRule="auto" w:before="224" w:after="0"/>
        <w:ind w:left="1583" w:right="149" w:hanging="430"/>
        <w:jc w:val="both"/>
        <w:rPr>
          <w:sz w:val="20"/>
        </w:rPr>
      </w:pPr>
      <w:r>
        <w:rPr>
          <w:sz w:val="20"/>
        </w:rPr>
        <w:t>Procurar que las obras que realicen con los recursos de los Fondos sean compatibles con la preservación y protección del medio ambiente y que impulsen el desarrollo </w:t>
      </w:r>
      <w:r>
        <w:rPr>
          <w:spacing w:val="-2"/>
          <w:sz w:val="20"/>
        </w:rPr>
        <w:t>sostenible;</w:t>
      </w:r>
    </w:p>
    <w:p>
      <w:pPr>
        <w:pStyle w:val="ListParagraph"/>
        <w:numPr>
          <w:ilvl w:val="3"/>
          <w:numId w:val="11"/>
        </w:numPr>
        <w:tabs>
          <w:tab w:pos="1581" w:val="left" w:leader="none"/>
          <w:tab w:pos="1583" w:val="left" w:leader="none"/>
        </w:tabs>
        <w:spacing w:line="240" w:lineRule="auto" w:before="229" w:after="0"/>
        <w:ind w:left="1583" w:right="148" w:hanging="430"/>
        <w:jc w:val="both"/>
        <w:rPr>
          <w:sz w:val="20"/>
        </w:rPr>
      </w:pPr>
      <w:r>
        <w:rPr>
          <w:sz w:val="20"/>
        </w:rPr>
        <w:t>Reportar trimestralmente a la Secretaría de Desarrollo Social, a través de sus Delegaciones Estatales o instancia equivalente en el Distrito Federal, así como a la Secretaría de Hacienda y Crédito Público, el seguimiento sobre el uso de los recursos del Fondo, en los términos que establecen los artículos 48 y 49 de esta Ley, así como con base en el Informe anual sobre la situación de pobreza y rezago social de las entidades y sus respectivos municipios o demarcaciones territoriales. Asimismo, las entidades,</w:t>
      </w:r>
      <w:r>
        <w:rPr>
          <w:spacing w:val="40"/>
          <w:sz w:val="20"/>
        </w:rPr>
        <w:t> </w:t>
      </w:r>
      <w:r>
        <w:rPr>
          <w:sz w:val="20"/>
        </w:rPr>
        <w:t>los</w:t>
      </w:r>
      <w:r>
        <w:rPr>
          <w:spacing w:val="40"/>
          <w:sz w:val="20"/>
        </w:rPr>
        <w:t> </w:t>
      </w:r>
      <w:r>
        <w:rPr>
          <w:sz w:val="20"/>
        </w:rPr>
        <w:t>municipios</w:t>
      </w:r>
      <w:r>
        <w:rPr>
          <w:spacing w:val="40"/>
          <w:sz w:val="20"/>
        </w:rPr>
        <w:t> </w:t>
      </w:r>
      <w:r>
        <w:rPr>
          <w:sz w:val="20"/>
        </w:rPr>
        <w:t>y</w:t>
      </w:r>
      <w:r>
        <w:rPr>
          <w:spacing w:val="40"/>
          <w:sz w:val="20"/>
        </w:rPr>
        <w:t> </w:t>
      </w:r>
      <w:r>
        <w:rPr>
          <w:sz w:val="20"/>
        </w:rPr>
        <w:t>las</w:t>
      </w:r>
      <w:r>
        <w:rPr>
          <w:spacing w:val="40"/>
          <w:sz w:val="20"/>
        </w:rPr>
        <w:t> </w:t>
      </w:r>
      <w:r>
        <w:rPr>
          <w:sz w:val="20"/>
        </w:rPr>
        <w:t>demarcaciones</w:t>
      </w:r>
      <w:r>
        <w:rPr>
          <w:spacing w:val="40"/>
          <w:sz w:val="20"/>
        </w:rPr>
        <w:t> </w:t>
      </w:r>
      <w:r>
        <w:rPr>
          <w:sz w:val="20"/>
        </w:rPr>
        <w:t>territoriales,</w:t>
      </w:r>
      <w:r>
        <w:rPr>
          <w:spacing w:val="40"/>
          <w:sz w:val="20"/>
        </w:rPr>
        <w:t> </w:t>
      </w:r>
      <w:r>
        <w:rPr>
          <w:sz w:val="20"/>
        </w:rPr>
        <w:t>deberán</w:t>
      </w:r>
      <w:r>
        <w:rPr>
          <w:spacing w:val="40"/>
          <w:sz w:val="20"/>
        </w:rPr>
        <w:t> </w:t>
      </w:r>
      <w:r>
        <w:rPr>
          <w:sz w:val="20"/>
        </w:rPr>
        <w:t>proporcionar</w:t>
      </w:r>
      <w:r>
        <w:rPr>
          <w:spacing w:val="40"/>
          <w:sz w:val="20"/>
        </w:rPr>
        <w:t> </w:t>
      </w:r>
      <w:r>
        <w:rPr>
          <w:sz w:val="20"/>
        </w:rPr>
        <w:t>la</w:t>
      </w:r>
    </w:p>
    <w:p>
      <w:pPr>
        <w:pStyle w:val="ListParagraph"/>
        <w:spacing w:after="0" w:line="240" w:lineRule="auto"/>
        <w:jc w:val="both"/>
        <w:rPr>
          <w:sz w:val="20"/>
        </w:rPr>
        <w:sectPr>
          <w:pgSz w:w="12250" w:h="15850"/>
          <w:pgMar w:header="724" w:footer="712" w:top="1880" w:bottom="900" w:left="1417" w:right="1275"/>
        </w:sectPr>
      </w:pPr>
    </w:p>
    <w:p>
      <w:pPr>
        <w:pStyle w:val="BodyText"/>
        <w:spacing w:before="67"/>
      </w:pPr>
    </w:p>
    <w:p>
      <w:pPr>
        <w:pStyle w:val="BodyText"/>
        <w:ind w:left="1583" w:right="151"/>
        <w:jc w:val="both"/>
      </w:pPr>
      <w:r>
        <w:rPr/>
        <w:t>información adicional que solicite dicha Secretaría para la supervisión y seguimiento de los recursos, y</w:t>
      </w:r>
    </w:p>
    <w:p>
      <w:pPr>
        <w:pStyle w:val="ListParagraph"/>
        <w:numPr>
          <w:ilvl w:val="3"/>
          <w:numId w:val="11"/>
        </w:numPr>
        <w:tabs>
          <w:tab w:pos="1581" w:val="left" w:leader="none"/>
          <w:tab w:pos="1583" w:val="left" w:leader="none"/>
        </w:tabs>
        <w:spacing w:line="242" w:lineRule="auto" w:before="227" w:after="0"/>
        <w:ind w:left="1583" w:right="141" w:hanging="430"/>
        <w:jc w:val="both"/>
        <w:rPr>
          <w:sz w:val="20"/>
        </w:rPr>
      </w:pPr>
      <w:r>
        <w:rPr>
          <w:sz w:val="20"/>
        </w:rPr>
        <w:t>Publicar en su página oficial de Internet las obras financiadas con los recursos de este Fondo. Dichas publicaciones deberán contener, entre otros datos, la información del contrato bajo el cual se celebra, informes trimestrales de los avances y, en su caso, evidencias de conclusión.</w:t>
      </w:r>
    </w:p>
    <w:p>
      <w:pPr>
        <w:pStyle w:val="BodyText"/>
        <w:spacing w:before="223"/>
        <w:ind w:left="1583" w:right="150"/>
        <w:jc w:val="both"/>
      </w:pPr>
      <w:r>
        <w:rPr/>
        <w:t>Los municipios que no cuenten con página oficial de Internet, convendrán con el gobierno de la entidad federativa correspondiente, para que éste publique la</w:t>
      </w:r>
      <w:r>
        <w:rPr>
          <w:spacing w:val="40"/>
        </w:rPr>
        <w:t> </w:t>
      </w:r>
      <w:r>
        <w:rPr/>
        <w:t>información correspondiente al municipio, y</w:t>
      </w:r>
    </w:p>
    <w:p>
      <w:pPr>
        <w:pStyle w:val="ListParagraph"/>
        <w:numPr>
          <w:ilvl w:val="2"/>
          <w:numId w:val="11"/>
        </w:numPr>
        <w:tabs>
          <w:tab w:pos="1149" w:val="left" w:leader="none"/>
          <w:tab w:pos="1153" w:val="left" w:leader="none"/>
        </w:tabs>
        <w:spacing w:line="240" w:lineRule="auto" w:before="230" w:after="0"/>
        <w:ind w:left="1153" w:right="142" w:hanging="432"/>
        <w:jc w:val="both"/>
        <w:rPr>
          <w:sz w:val="20"/>
        </w:rPr>
      </w:pPr>
      <w:r>
        <w:rPr>
          <w:sz w:val="20"/>
        </w:rPr>
        <w:t>De la Secretaría de Hacienda y Crédito Público, generar un sistema geo referenciado para difundir a través de su página oficial de Internet, las obras en cada municipio o demarcación territorial financiadas con los recursos provenientes de este Fondo. Dicho sistema deberá contener la información del contrato bajo el cual se celebra, informes trimestrales de los avances y, en su caso, evidencias de conclusión.</w:t>
      </w:r>
    </w:p>
    <w:p>
      <w:pPr>
        <w:spacing w:line="184" w:lineRule="exact" w:before="0"/>
        <w:ind w:left="41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31-12-1998,</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4"/>
        <w:rPr>
          <w:rFonts w:ascii="Times New Roman"/>
          <w:i/>
          <w:sz w:val="16"/>
        </w:rPr>
      </w:pPr>
    </w:p>
    <w:p>
      <w:pPr>
        <w:pStyle w:val="BodyText"/>
        <w:spacing w:line="242" w:lineRule="auto" w:before="1"/>
        <w:ind w:left="1" w:right="153" w:firstLine="288"/>
      </w:pPr>
      <w:bookmarkStart w:name="Artículo_34" w:id="49"/>
      <w:bookmarkEnd w:id="49"/>
      <w:r>
        <w:rPr/>
      </w:r>
      <w:r>
        <w:rPr>
          <w:rFonts w:ascii="Arial" w:hAnsi="Arial"/>
          <w:b/>
        </w:rPr>
        <w:t>Artículo 34.- </w:t>
      </w:r>
      <w:r>
        <w:rPr/>
        <w:t>El Ejecutivo Federal, a través de la Secretaría de Desarrollo Social, distribuirá el Fondo de Aportaciones para la Infraestructura Social entre las entidades, conforme a la siguiente fórmula:</w:t>
      </w:r>
    </w:p>
    <w:p>
      <w:pPr>
        <w:pStyle w:val="BodyText"/>
        <w:spacing w:before="226"/>
        <w:ind w:left="1156" w:right="1299"/>
        <w:jc w:val="center"/>
        <w:rPr>
          <w:position w:val="1"/>
        </w:rPr>
      </w:pPr>
      <w:r>
        <w:rPr>
          <w:spacing w:val="-5"/>
          <w:position w:val="1"/>
        </w:rPr>
        <w:t>F</w:t>
      </w:r>
      <w:r>
        <w:rPr>
          <w:spacing w:val="-5"/>
          <w:position w:val="-2"/>
        </w:rPr>
        <w:t>i,t</w:t>
      </w:r>
      <w:r>
        <w:rPr>
          <w:spacing w:val="-5"/>
          <w:position w:val="1"/>
        </w:rPr>
        <w:t>=F</w:t>
      </w:r>
      <w:r>
        <w:rPr>
          <w:spacing w:val="-5"/>
          <w:position w:val="-2"/>
        </w:rPr>
        <w:t>i,2013</w:t>
      </w:r>
      <w:r>
        <w:rPr>
          <w:spacing w:val="-5"/>
          <w:position w:val="1"/>
        </w:rPr>
        <w:t>+ΔF</w:t>
      </w:r>
      <w:r>
        <w:rPr>
          <w:spacing w:val="-5"/>
          <w:sz w:val="13"/>
        </w:rPr>
        <w:t>2013</w:t>
      </w:r>
      <w:r>
        <w:rPr>
          <w:spacing w:val="-5"/>
          <w:position w:val="-2"/>
        </w:rPr>
        <w:t>,t</w:t>
      </w:r>
      <w:r>
        <w:rPr>
          <w:spacing w:val="13"/>
          <w:position w:val="-2"/>
        </w:rPr>
        <w:t> </w:t>
      </w:r>
      <w:r>
        <w:rPr>
          <w:spacing w:val="-2"/>
          <w:position w:val="1"/>
        </w:rPr>
        <w:t>(0.8z</w:t>
      </w:r>
      <w:r>
        <w:rPr>
          <w:spacing w:val="-2"/>
          <w:position w:val="-2"/>
        </w:rPr>
        <w:t>i,t</w:t>
      </w:r>
      <w:r>
        <w:rPr>
          <w:spacing w:val="-2"/>
          <w:position w:val="1"/>
        </w:rPr>
        <w:t>+0.2e</w:t>
      </w:r>
      <w:r>
        <w:rPr>
          <w:spacing w:val="-2"/>
          <w:position w:val="-2"/>
        </w:rPr>
        <w:t>i,t</w:t>
      </w:r>
      <w:r>
        <w:rPr>
          <w:spacing w:val="-2"/>
          <w:position w:val="1"/>
        </w:rPr>
        <w:t>)</w:t>
      </w:r>
    </w:p>
    <w:p>
      <w:pPr>
        <w:pStyle w:val="BodyText"/>
        <w:spacing w:before="2"/>
      </w:pPr>
    </w:p>
    <w:p>
      <w:pPr>
        <w:pStyle w:val="BodyText"/>
        <w:ind w:left="577"/>
      </w:pPr>
      <w:r>
        <w:rPr>
          <w:spacing w:val="-2"/>
        </w:rPr>
        <w:t>Donde:</w:t>
      </w:r>
    </w:p>
    <w:p>
      <w:pPr>
        <w:pStyle w:val="BodyText"/>
        <w:spacing w:before="10"/>
        <w:rPr>
          <w:sz w:val="17"/>
        </w:rPr>
      </w:pPr>
      <w:r>
        <w:rPr>
          <w:sz w:val="17"/>
        </w:rPr>
        <w:drawing>
          <wp:anchor distT="0" distB="0" distL="0" distR="0" allowOverlap="1" layoutInCell="1" locked="0" behindDoc="1" simplePos="0" relativeHeight="487602176">
            <wp:simplePos x="0" y="0"/>
            <wp:positionH relativeFrom="page">
              <wp:posOffset>3517265</wp:posOffset>
            </wp:positionH>
            <wp:positionV relativeFrom="paragraph">
              <wp:posOffset>146058</wp:posOffset>
            </wp:positionV>
            <wp:extent cx="737912" cy="362616"/>
            <wp:effectExtent l="0" t="0" r="0" b="0"/>
            <wp:wrapTopAndBottom/>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737912" cy="362616"/>
                    </a:xfrm>
                    <a:prstGeom prst="rect">
                      <a:avLst/>
                    </a:prstGeom>
                  </pic:spPr>
                </pic:pic>
              </a:graphicData>
            </a:graphic>
          </wp:anchor>
        </w:drawing>
      </w:r>
      <w:r>
        <w:rPr>
          <w:sz w:val="17"/>
        </w:rPr>
        <w:drawing>
          <wp:anchor distT="0" distB="0" distL="0" distR="0" allowOverlap="1" layoutInCell="1" locked="0" behindDoc="1" simplePos="0" relativeHeight="487602688">
            <wp:simplePos x="0" y="0"/>
            <wp:positionH relativeFrom="page">
              <wp:posOffset>3169920</wp:posOffset>
            </wp:positionH>
            <wp:positionV relativeFrom="paragraph">
              <wp:posOffset>654058</wp:posOffset>
            </wp:positionV>
            <wp:extent cx="1432559" cy="388620"/>
            <wp:effectExtent l="0" t="0" r="0" b="0"/>
            <wp:wrapTopAndBottom/>
            <wp:docPr id="52" name="Image 52"/>
            <wp:cNvGraphicFramePr>
              <a:graphicFrameLocks/>
            </wp:cNvGraphicFramePr>
            <a:graphic>
              <a:graphicData uri="http://schemas.openxmlformats.org/drawingml/2006/picture">
                <pic:pic>
                  <pic:nvPicPr>
                    <pic:cNvPr id="52" name="Image 52"/>
                    <pic:cNvPicPr/>
                  </pic:nvPicPr>
                  <pic:blipFill>
                    <a:blip r:embed="rId28" cstate="print"/>
                    <a:stretch>
                      <a:fillRect/>
                    </a:stretch>
                  </pic:blipFill>
                  <pic:spPr>
                    <a:xfrm>
                      <a:off x="0" y="0"/>
                      <a:ext cx="1432559" cy="388620"/>
                    </a:xfrm>
                    <a:prstGeom prst="rect">
                      <a:avLst/>
                    </a:prstGeom>
                  </pic:spPr>
                </pic:pic>
              </a:graphicData>
            </a:graphic>
          </wp:anchor>
        </w:drawing>
      </w:r>
      <w:r>
        <w:rPr>
          <w:sz w:val="17"/>
        </w:rPr>
        <w:drawing>
          <wp:anchor distT="0" distB="0" distL="0" distR="0" allowOverlap="1" layoutInCell="1" locked="0" behindDoc="1" simplePos="0" relativeHeight="487603200">
            <wp:simplePos x="0" y="0"/>
            <wp:positionH relativeFrom="page">
              <wp:posOffset>3314700</wp:posOffset>
            </wp:positionH>
            <wp:positionV relativeFrom="paragraph">
              <wp:posOffset>1188728</wp:posOffset>
            </wp:positionV>
            <wp:extent cx="1143000" cy="723900"/>
            <wp:effectExtent l="0" t="0" r="0" b="0"/>
            <wp:wrapTopAndBottom/>
            <wp:docPr id="53" name="Image 53"/>
            <wp:cNvGraphicFramePr>
              <a:graphicFrameLocks/>
            </wp:cNvGraphicFramePr>
            <a:graphic>
              <a:graphicData uri="http://schemas.openxmlformats.org/drawingml/2006/picture">
                <pic:pic>
                  <pic:nvPicPr>
                    <pic:cNvPr id="53" name="Image 53"/>
                    <pic:cNvPicPr/>
                  </pic:nvPicPr>
                  <pic:blipFill>
                    <a:blip r:embed="rId29" cstate="print"/>
                    <a:stretch>
                      <a:fillRect/>
                    </a:stretch>
                  </pic:blipFill>
                  <pic:spPr>
                    <a:xfrm>
                      <a:off x="0" y="0"/>
                      <a:ext cx="1143000" cy="723900"/>
                    </a:xfrm>
                    <a:prstGeom prst="rect">
                      <a:avLst/>
                    </a:prstGeom>
                  </pic:spPr>
                </pic:pic>
              </a:graphicData>
            </a:graphic>
          </wp:anchor>
        </w:drawing>
      </w:r>
    </w:p>
    <w:p>
      <w:pPr>
        <w:pStyle w:val="BodyText"/>
        <w:spacing w:before="9"/>
        <w:rPr>
          <w:sz w:val="17"/>
        </w:rPr>
      </w:pPr>
    </w:p>
    <w:p>
      <w:pPr>
        <w:pStyle w:val="BodyText"/>
        <w:spacing w:before="10"/>
        <w:rPr>
          <w:sz w:val="17"/>
        </w:rPr>
      </w:pPr>
    </w:p>
    <w:p>
      <w:pPr>
        <w:pStyle w:val="BodyText"/>
        <w:spacing w:before="2"/>
      </w:pPr>
    </w:p>
    <w:p>
      <w:pPr>
        <w:pStyle w:val="BodyText"/>
        <w:ind w:left="577"/>
      </w:pPr>
      <w:r>
        <w:rPr/>
        <w:t>Y</w:t>
      </w:r>
      <w:r>
        <w:rPr>
          <w:spacing w:val="-6"/>
        </w:rPr>
        <w:t> </w:t>
      </w:r>
      <w:r>
        <w:rPr/>
        <w:t>las</w:t>
      </w:r>
      <w:r>
        <w:rPr>
          <w:spacing w:val="-5"/>
        </w:rPr>
        <w:t> </w:t>
      </w:r>
      <w:r>
        <w:rPr/>
        <w:t>variables</w:t>
      </w:r>
      <w:r>
        <w:rPr>
          <w:spacing w:val="-6"/>
        </w:rPr>
        <w:t> </w:t>
      </w:r>
      <w:r>
        <w:rPr/>
        <w:t>de</w:t>
      </w:r>
      <w:r>
        <w:rPr>
          <w:spacing w:val="-5"/>
        </w:rPr>
        <w:t> </w:t>
      </w:r>
      <w:r>
        <w:rPr/>
        <w:t>cálculo</w:t>
      </w:r>
      <w:r>
        <w:rPr>
          <w:spacing w:val="-5"/>
        </w:rPr>
        <w:t> </w:t>
      </w:r>
      <w:r>
        <w:rPr/>
        <w:t>se</w:t>
      </w:r>
      <w:r>
        <w:rPr>
          <w:spacing w:val="-6"/>
        </w:rPr>
        <w:t> </w:t>
      </w:r>
      <w:r>
        <w:rPr/>
        <w:t>definen</w:t>
      </w:r>
      <w:r>
        <w:rPr>
          <w:spacing w:val="-6"/>
        </w:rPr>
        <w:t> </w:t>
      </w:r>
      <w:r>
        <w:rPr/>
        <w:t>de</w:t>
      </w:r>
      <w:r>
        <w:rPr>
          <w:spacing w:val="-6"/>
        </w:rPr>
        <w:t> </w:t>
      </w:r>
      <w:r>
        <w:rPr/>
        <w:t>la</w:t>
      </w:r>
      <w:r>
        <w:rPr>
          <w:spacing w:val="-6"/>
        </w:rPr>
        <w:t> </w:t>
      </w:r>
      <w:r>
        <w:rPr/>
        <w:t>siguiente</w:t>
      </w:r>
      <w:r>
        <w:rPr>
          <w:spacing w:val="-6"/>
        </w:rPr>
        <w:t> </w:t>
      </w:r>
      <w:r>
        <w:rPr>
          <w:spacing w:val="-2"/>
        </w:rPr>
        <w:t>manera:</w:t>
      </w:r>
    </w:p>
    <w:p>
      <w:pPr>
        <w:pStyle w:val="BodyText"/>
        <w:spacing w:before="228"/>
        <w:ind w:left="577"/>
      </w:pPr>
      <w:r>
        <w:rPr/>
        <w:t>F</w:t>
      </w:r>
      <w:r>
        <w:rPr>
          <w:position w:val="-3"/>
        </w:rPr>
        <w:t>i,t</w:t>
      </w:r>
      <w:r>
        <w:rPr/>
        <w:t>=</w:t>
      </w:r>
      <w:r>
        <w:rPr>
          <w:spacing w:val="-4"/>
        </w:rPr>
        <w:t> </w:t>
      </w:r>
      <w:r>
        <w:rPr/>
        <w:t>Monto</w:t>
      </w:r>
      <w:r>
        <w:rPr>
          <w:spacing w:val="-4"/>
        </w:rPr>
        <w:t> </w:t>
      </w:r>
      <w:r>
        <w:rPr/>
        <w:t>del</w:t>
      </w:r>
      <w:r>
        <w:rPr>
          <w:spacing w:val="-6"/>
        </w:rPr>
        <w:t> </w:t>
      </w:r>
      <w:r>
        <w:rPr/>
        <w:t>FAIS</w:t>
      </w:r>
      <w:r>
        <w:rPr>
          <w:spacing w:val="-5"/>
        </w:rPr>
        <w:t> </w:t>
      </w:r>
      <w:r>
        <w:rPr/>
        <w:t>de</w:t>
      </w:r>
      <w:r>
        <w:rPr>
          <w:spacing w:val="-5"/>
        </w:rPr>
        <w:t> </w:t>
      </w:r>
      <w:r>
        <w:rPr/>
        <w:t>la</w:t>
      </w:r>
      <w:r>
        <w:rPr>
          <w:spacing w:val="-3"/>
        </w:rPr>
        <w:t> </w:t>
      </w:r>
      <w:r>
        <w:rPr/>
        <w:t>entidad</w:t>
      </w:r>
      <w:r>
        <w:rPr>
          <w:spacing w:val="-3"/>
        </w:rPr>
        <w:t> </w:t>
      </w:r>
      <w:r>
        <w:rPr/>
        <w:t>i</w:t>
      </w:r>
      <w:r>
        <w:rPr>
          <w:spacing w:val="-4"/>
        </w:rPr>
        <w:t> </w:t>
      </w:r>
      <w:r>
        <w:rPr/>
        <w:t>en</w:t>
      </w:r>
      <w:r>
        <w:rPr>
          <w:spacing w:val="-5"/>
        </w:rPr>
        <w:t> </w:t>
      </w:r>
      <w:r>
        <w:rPr/>
        <w:t>el</w:t>
      </w:r>
      <w:r>
        <w:rPr>
          <w:spacing w:val="-6"/>
        </w:rPr>
        <w:t> </w:t>
      </w:r>
      <w:r>
        <w:rPr/>
        <w:t>año</w:t>
      </w:r>
      <w:r>
        <w:rPr>
          <w:spacing w:val="-6"/>
        </w:rPr>
        <w:t> </w:t>
      </w:r>
      <w:r>
        <w:rPr>
          <w:spacing w:val="-5"/>
        </w:rPr>
        <w:t>t.</w:t>
      </w:r>
    </w:p>
    <w:p>
      <w:pPr>
        <w:pStyle w:val="BodyText"/>
        <w:spacing w:line="273" w:lineRule="auto" w:before="229"/>
        <w:ind w:left="289" w:firstLine="288"/>
      </w:pPr>
      <w:r>
        <w:rPr>
          <w:position w:val="1"/>
        </w:rPr>
        <w:t>F</w:t>
      </w:r>
      <w:r>
        <w:rPr>
          <w:position w:val="1"/>
          <w:vertAlign w:val="subscript"/>
        </w:rPr>
        <w:t>i,</w:t>
      </w:r>
      <w:r>
        <w:rPr>
          <w:sz w:val="13"/>
          <w:vertAlign w:val="baseline"/>
        </w:rPr>
        <w:t>2013</w:t>
      </w:r>
      <w:r>
        <w:rPr>
          <w:position w:val="1"/>
          <w:vertAlign w:val="baseline"/>
        </w:rPr>
        <w:t>=</w:t>
      </w:r>
      <w:r>
        <w:rPr>
          <w:spacing w:val="17"/>
          <w:position w:val="1"/>
          <w:vertAlign w:val="baseline"/>
        </w:rPr>
        <w:t> </w:t>
      </w:r>
      <w:r>
        <w:rPr>
          <w:position w:val="1"/>
          <w:vertAlign w:val="baseline"/>
        </w:rPr>
        <w:t>Monto</w:t>
      </w:r>
      <w:r>
        <w:rPr>
          <w:spacing w:val="18"/>
          <w:position w:val="1"/>
          <w:vertAlign w:val="baseline"/>
        </w:rPr>
        <w:t> </w:t>
      </w:r>
      <w:r>
        <w:rPr>
          <w:position w:val="1"/>
          <w:vertAlign w:val="baseline"/>
        </w:rPr>
        <w:t>del</w:t>
      </w:r>
      <w:r>
        <w:rPr>
          <w:spacing w:val="18"/>
          <w:position w:val="1"/>
          <w:vertAlign w:val="baseline"/>
        </w:rPr>
        <w:t> </w:t>
      </w:r>
      <w:r>
        <w:rPr>
          <w:position w:val="1"/>
          <w:vertAlign w:val="baseline"/>
        </w:rPr>
        <w:t>FAIS</w:t>
      </w:r>
      <w:r>
        <w:rPr>
          <w:spacing w:val="18"/>
          <w:position w:val="1"/>
          <w:vertAlign w:val="baseline"/>
        </w:rPr>
        <w:t> </w:t>
      </w:r>
      <w:r>
        <w:rPr>
          <w:position w:val="1"/>
          <w:vertAlign w:val="baseline"/>
        </w:rPr>
        <w:t>de</w:t>
      </w:r>
      <w:r>
        <w:rPr>
          <w:spacing w:val="20"/>
          <w:position w:val="1"/>
          <w:vertAlign w:val="baseline"/>
        </w:rPr>
        <w:t> </w:t>
      </w:r>
      <w:r>
        <w:rPr>
          <w:position w:val="1"/>
          <w:vertAlign w:val="baseline"/>
        </w:rPr>
        <w:t>la</w:t>
      </w:r>
      <w:r>
        <w:rPr>
          <w:spacing w:val="18"/>
          <w:position w:val="1"/>
          <w:vertAlign w:val="baseline"/>
        </w:rPr>
        <w:t> </w:t>
      </w:r>
      <w:r>
        <w:rPr>
          <w:position w:val="1"/>
          <w:vertAlign w:val="baseline"/>
        </w:rPr>
        <w:t>entidad</w:t>
      </w:r>
      <w:r>
        <w:rPr>
          <w:spacing w:val="18"/>
          <w:position w:val="1"/>
          <w:vertAlign w:val="baseline"/>
        </w:rPr>
        <w:t> </w:t>
      </w:r>
      <w:r>
        <w:rPr>
          <w:position w:val="1"/>
          <w:vertAlign w:val="baseline"/>
        </w:rPr>
        <w:t>i</w:t>
      </w:r>
      <w:r>
        <w:rPr>
          <w:spacing w:val="20"/>
          <w:position w:val="1"/>
          <w:vertAlign w:val="baseline"/>
        </w:rPr>
        <w:t> </w:t>
      </w:r>
      <w:r>
        <w:rPr>
          <w:position w:val="1"/>
          <w:vertAlign w:val="baseline"/>
        </w:rPr>
        <w:t>en</w:t>
      </w:r>
      <w:r>
        <w:rPr>
          <w:spacing w:val="18"/>
          <w:position w:val="1"/>
          <w:vertAlign w:val="baseline"/>
        </w:rPr>
        <w:t> </w:t>
      </w:r>
      <w:r>
        <w:rPr>
          <w:position w:val="1"/>
          <w:vertAlign w:val="baseline"/>
        </w:rPr>
        <w:t>2013,</w:t>
      </w:r>
      <w:r>
        <w:rPr>
          <w:spacing w:val="20"/>
          <w:position w:val="1"/>
          <w:vertAlign w:val="baseline"/>
        </w:rPr>
        <w:t> </w:t>
      </w:r>
      <w:r>
        <w:rPr>
          <w:position w:val="1"/>
          <w:vertAlign w:val="baseline"/>
        </w:rPr>
        <w:t>en</w:t>
      </w:r>
      <w:r>
        <w:rPr>
          <w:spacing w:val="18"/>
          <w:position w:val="1"/>
          <w:vertAlign w:val="baseline"/>
        </w:rPr>
        <w:t> </w:t>
      </w:r>
      <w:r>
        <w:rPr>
          <w:position w:val="1"/>
          <w:vertAlign w:val="baseline"/>
        </w:rPr>
        <w:t>el</w:t>
      </w:r>
      <w:r>
        <w:rPr>
          <w:spacing w:val="18"/>
          <w:position w:val="1"/>
          <w:vertAlign w:val="baseline"/>
        </w:rPr>
        <w:t> </w:t>
      </w:r>
      <w:r>
        <w:rPr>
          <w:position w:val="1"/>
          <w:vertAlign w:val="baseline"/>
        </w:rPr>
        <w:t>caso</w:t>
      </w:r>
      <w:r>
        <w:rPr>
          <w:spacing w:val="18"/>
          <w:position w:val="1"/>
          <w:vertAlign w:val="baseline"/>
        </w:rPr>
        <w:t> </w:t>
      </w:r>
      <w:r>
        <w:rPr>
          <w:position w:val="1"/>
          <w:vertAlign w:val="baseline"/>
        </w:rPr>
        <w:t>del</w:t>
      </w:r>
      <w:r>
        <w:rPr>
          <w:spacing w:val="18"/>
          <w:position w:val="1"/>
          <w:vertAlign w:val="baseline"/>
        </w:rPr>
        <w:t> </w:t>
      </w:r>
      <w:r>
        <w:rPr>
          <w:position w:val="1"/>
          <w:vertAlign w:val="baseline"/>
        </w:rPr>
        <w:t>Distrito</w:t>
      </w:r>
      <w:r>
        <w:rPr>
          <w:spacing w:val="18"/>
          <w:position w:val="1"/>
          <w:vertAlign w:val="baseline"/>
        </w:rPr>
        <w:t> </w:t>
      </w:r>
      <w:r>
        <w:rPr>
          <w:position w:val="1"/>
          <w:vertAlign w:val="baseline"/>
        </w:rPr>
        <w:t>Federal</w:t>
      </w:r>
      <w:r>
        <w:rPr>
          <w:spacing w:val="20"/>
          <w:position w:val="1"/>
          <w:vertAlign w:val="baseline"/>
        </w:rPr>
        <w:t> </w:t>
      </w:r>
      <w:r>
        <w:rPr>
          <w:position w:val="1"/>
          <w:vertAlign w:val="baseline"/>
        </w:rPr>
        <w:t>dicho</w:t>
      </w:r>
      <w:r>
        <w:rPr>
          <w:spacing w:val="18"/>
          <w:position w:val="1"/>
          <w:vertAlign w:val="baseline"/>
        </w:rPr>
        <w:t> </w:t>
      </w:r>
      <w:r>
        <w:rPr>
          <w:position w:val="1"/>
          <w:vertAlign w:val="baseline"/>
        </w:rPr>
        <w:t>monto</w:t>
      </w:r>
      <w:r>
        <w:rPr>
          <w:spacing w:val="18"/>
          <w:position w:val="1"/>
          <w:vertAlign w:val="baseline"/>
        </w:rPr>
        <w:t> </w:t>
      </w:r>
      <w:r>
        <w:rPr>
          <w:position w:val="1"/>
          <w:vertAlign w:val="baseline"/>
        </w:rPr>
        <w:t>será </w:t>
      </w:r>
      <w:r>
        <w:rPr>
          <w:vertAlign w:val="baseline"/>
        </w:rPr>
        <w:t>equivalente a 686,880,919.32 pesos.</w:t>
      </w:r>
    </w:p>
    <w:p>
      <w:pPr>
        <w:pStyle w:val="BodyText"/>
        <w:spacing w:line="500" w:lineRule="atLeast" w:before="16"/>
        <w:ind w:left="577" w:right="153"/>
      </w:pPr>
      <w:r>
        <w:rPr>
          <w:rFonts w:ascii="Symbol" w:hAnsi="Symbol"/>
          <w:position w:val="1"/>
        </w:rPr>
        <w:t></w:t>
      </w:r>
      <w:r>
        <w:rPr>
          <w:position w:val="1"/>
        </w:rPr>
        <w:t>F</w:t>
      </w:r>
      <w:r>
        <w:rPr>
          <w:sz w:val="13"/>
        </w:rPr>
        <w:t>2013</w:t>
      </w:r>
      <w:r>
        <w:rPr>
          <w:position w:val="-3"/>
          <w:sz w:val="13"/>
        </w:rPr>
        <w:t>,t</w:t>
      </w:r>
      <w:r>
        <w:rPr>
          <w:position w:val="1"/>
        </w:rPr>
        <w:t>= FAIS</w:t>
      </w:r>
      <w:r>
        <w:rPr>
          <w:position w:val="1"/>
          <w:vertAlign w:val="subscript"/>
        </w:rPr>
        <w:t>t</w:t>
      </w:r>
      <w:r>
        <w:rPr>
          <w:position w:val="1"/>
          <w:vertAlign w:val="baseline"/>
        </w:rPr>
        <w:t>-</w:t>
      </w:r>
      <w:r>
        <w:rPr>
          <w:rFonts w:ascii="Symbol" w:hAnsi="Symbol"/>
          <w:position w:val="1"/>
          <w:sz w:val="24"/>
          <w:vertAlign w:val="baseline"/>
        </w:rPr>
        <w:t></w:t>
      </w:r>
      <w:r>
        <w:rPr>
          <w:position w:val="1"/>
          <w:vertAlign w:val="baseline"/>
        </w:rPr>
        <w:t>F</w:t>
      </w:r>
      <w:r>
        <w:rPr>
          <w:position w:val="1"/>
          <w:vertAlign w:val="subscript"/>
        </w:rPr>
        <w:t>i,</w:t>
      </w:r>
      <w:r>
        <w:rPr>
          <w:sz w:val="13"/>
          <w:vertAlign w:val="baseline"/>
        </w:rPr>
        <w:t>2013</w:t>
      </w:r>
      <w:r>
        <w:rPr>
          <w:position w:val="1"/>
          <w:vertAlign w:val="baseline"/>
        </w:rPr>
        <w:t>, donde FAIS</w:t>
      </w:r>
      <w:r>
        <w:rPr>
          <w:position w:val="1"/>
          <w:vertAlign w:val="subscript"/>
        </w:rPr>
        <w:t>t</w:t>
      </w:r>
      <w:r>
        <w:rPr>
          <w:position w:val="1"/>
          <w:vertAlign w:val="baseline"/>
        </w:rPr>
        <w:t> corresponde a los recursos del Fondo en el año de cálculo t. </w:t>
      </w:r>
      <w:r>
        <w:rPr>
          <w:vertAlign w:val="baseline"/>
        </w:rPr>
        <w:t>z</w:t>
      </w:r>
      <w:r>
        <w:rPr>
          <w:position w:val="-4"/>
          <w:sz w:val="13"/>
          <w:vertAlign w:val="baseline"/>
        </w:rPr>
        <w:t>i,t</w:t>
      </w:r>
      <w:r>
        <w:rPr>
          <w:vertAlign w:val="baseline"/>
        </w:rPr>
        <w:t>=</w:t>
      </w:r>
      <w:r>
        <w:rPr>
          <w:spacing w:val="19"/>
          <w:vertAlign w:val="baseline"/>
        </w:rPr>
        <w:t> </w:t>
      </w:r>
      <w:r>
        <w:rPr>
          <w:vertAlign w:val="baseline"/>
        </w:rPr>
        <w:t>La</w:t>
      </w:r>
      <w:r>
        <w:rPr>
          <w:spacing w:val="17"/>
          <w:vertAlign w:val="baseline"/>
        </w:rPr>
        <w:t> </w:t>
      </w:r>
      <w:r>
        <w:rPr>
          <w:vertAlign w:val="baseline"/>
        </w:rPr>
        <w:t>participación</w:t>
      </w:r>
      <w:r>
        <w:rPr>
          <w:spacing w:val="18"/>
          <w:vertAlign w:val="baseline"/>
        </w:rPr>
        <w:t> </w:t>
      </w:r>
      <w:r>
        <w:rPr>
          <w:vertAlign w:val="baseline"/>
        </w:rPr>
        <w:t>de</w:t>
      </w:r>
      <w:r>
        <w:rPr>
          <w:spacing w:val="20"/>
          <w:vertAlign w:val="baseline"/>
        </w:rPr>
        <w:t> </w:t>
      </w:r>
      <w:r>
        <w:rPr>
          <w:vertAlign w:val="baseline"/>
        </w:rPr>
        <w:t>la</w:t>
      </w:r>
      <w:r>
        <w:rPr>
          <w:spacing w:val="20"/>
          <w:vertAlign w:val="baseline"/>
        </w:rPr>
        <w:t> </w:t>
      </w:r>
      <w:r>
        <w:rPr>
          <w:vertAlign w:val="baseline"/>
        </w:rPr>
        <w:t>entidad</w:t>
      </w:r>
      <w:r>
        <w:rPr>
          <w:spacing w:val="20"/>
          <w:vertAlign w:val="baseline"/>
        </w:rPr>
        <w:t> </w:t>
      </w:r>
      <w:r>
        <w:rPr>
          <w:vertAlign w:val="baseline"/>
        </w:rPr>
        <w:t>i</w:t>
      </w:r>
      <w:r>
        <w:rPr>
          <w:spacing w:val="17"/>
          <w:vertAlign w:val="baseline"/>
        </w:rPr>
        <w:t> </w:t>
      </w:r>
      <w:r>
        <w:rPr>
          <w:vertAlign w:val="baseline"/>
        </w:rPr>
        <w:t>en</w:t>
      </w:r>
      <w:r>
        <w:rPr>
          <w:spacing w:val="20"/>
          <w:vertAlign w:val="baseline"/>
        </w:rPr>
        <w:t> </w:t>
      </w:r>
      <w:r>
        <w:rPr>
          <w:vertAlign w:val="baseline"/>
        </w:rPr>
        <w:t>el</w:t>
      </w:r>
      <w:r>
        <w:rPr>
          <w:spacing w:val="17"/>
          <w:vertAlign w:val="baseline"/>
        </w:rPr>
        <w:t> </w:t>
      </w:r>
      <w:r>
        <w:rPr>
          <w:vertAlign w:val="baseline"/>
        </w:rPr>
        <w:t>promedio</w:t>
      </w:r>
      <w:r>
        <w:rPr>
          <w:spacing w:val="20"/>
          <w:vertAlign w:val="baseline"/>
        </w:rPr>
        <w:t> </w:t>
      </w:r>
      <w:r>
        <w:rPr>
          <w:vertAlign w:val="baseline"/>
        </w:rPr>
        <w:t>nacional</w:t>
      </w:r>
      <w:r>
        <w:rPr>
          <w:spacing w:val="17"/>
          <w:vertAlign w:val="baseline"/>
        </w:rPr>
        <w:t> </w:t>
      </w:r>
      <w:r>
        <w:rPr>
          <w:vertAlign w:val="baseline"/>
        </w:rPr>
        <w:t>de</w:t>
      </w:r>
      <w:r>
        <w:rPr>
          <w:spacing w:val="18"/>
          <w:vertAlign w:val="baseline"/>
        </w:rPr>
        <w:t> </w:t>
      </w:r>
      <w:r>
        <w:rPr>
          <w:vertAlign w:val="baseline"/>
        </w:rPr>
        <w:t>las</w:t>
      </w:r>
      <w:r>
        <w:rPr>
          <w:spacing w:val="19"/>
          <w:vertAlign w:val="baseline"/>
        </w:rPr>
        <w:t> </w:t>
      </w:r>
      <w:r>
        <w:rPr>
          <w:vertAlign w:val="baseline"/>
        </w:rPr>
        <w:t>carencias</w:t>
      </w:r>
      <w:r>
        <w:rPr>
          <w:spacing w:val="20"/>
          <w:vertAlign w:val="baseline"/>
        </w:rPr>
        <w:t> </w:t>
      </w:r>
      <w:r>
        <w:rPr>
          <w:vertAlign w:val="baseline"/>
        </w:rPr>
        <w:t>de</w:t>
      </w:r>
      <w:r>
        <w:rPr>
          <w:spacing w:val="18"/>
          <w:vertAlign w:val="baseline"/>
        </w:rPr>
        <w:t> </w:t>
      </w:r>
      <w:r>
        <w:rPr>
          <w:vertAlign w:val="baseline"/>
        </w:rPr>
        <w:t>la</w:t>
      </w:r>
      <w:r>
        <w:rPr>
          <w:spacing w:val="18"/>
          <w:vertAlign w:val="baseline"/>
        </w:rPr>
        <w:t> </w:t>
      </w:r>
      <w:r>
        <w:rPr>
          <w:vertAlign w:val="baseline"/>
        </w:rPr>
        <w:t>población</w:t>
      </w:r>
      <w:r>
        <w:rPr>
          <w:spacing w:val="18"/>
          <w:vertAlign w:val="baseline"/>
        </w:rPr>
        <w:t> </w:t>
      </w:r>
      <w:r>
        <w:rPr>
          <w:spacing w:val="-5"/>
          <w:vertAlign w:val="baseline"/>
        </w:rPr>
        <w:t>en</w:t>
      </w:r>
    </w:p>
    <w:p>
      <w:pPr>
        <w:pStyle w:val="BodyText"/>
        <w:spacing w:before="5"/>
        <w:ind w:left="289"/>
      </w:pPr>
      <w:r>
        <w:rPr/>
        <w:t>pobreza</w:t>
      </w:r>
      <w:r>
        <w:rPr>
          <w:spacing w:val="37"/>
        </w:rPr>
        <w:t> </w:t>
      </w:r>
      <w:r>
        <w:rPr/>
        <w:t>extrema</w:t>
      </w:r>
      <w:r>
        <w:rPr>
          <w:spacing w:val="32"/>
        </w:rPr>
        <w:t> </w:t>
      </w:r>
      <w:r>
        <w:rPr/>
        <w:t>más</w:t>
      </w:r>
      <w:r>
        <w:rPr>
          <w:spacing w:val="35"/>
        </w:rPr>
        <w:t> </w:t>
      </w:r>
      <w:r>
        <w:rPr/>
        <w:t>reciente</w:t>
      </w:r>
      <w:r>
        <w:rPr>
          <w:spacing w:val="37"/>
        </w:rPr>
        <w:t> </w:t>
      </w:r>
      <w:r>
        <w:rPr/>
        <w:t>publicada</w:t>
      </w:r>
      <w:r>
        <w:rPr>
          <w:spacing w:val="36"/>
        </w:rPr>
        <w:t> </w:t>
      </w:r>
      <w:r>
        <w:rPr/>
        <w:t>por</w:t>
      </w:r>
      <w:r>
        <w:rPr>
          <w:spacing w:val="35"/>
        </w:rPr>
        <w:t> </w:t>
      </w:r>
      <w:r>
        <w:rPr/>
        <w:t>el</w:t>
      </w:r>
      <w:r>
        <w:rPr>
          <w:spacing w:val="34"/>
        </w:rPr>
        <w:t> </w:t>
      </w:r>
      <w:r>
        <w:rPr/>
        <w:t>Consejo</w:t>
      </w:r>
      <w:r>
        <w:rPr>
          <w:spacing w:val="34"/>
        </w:rPr>
        <w:t> </w:t>
      </w:r>
      <w:r>
        <w:rPr/>
        <w:t>Nacional</w:t>
      </w:r>
      <w:r>
        <w:rPr>
          <w:spacing w:val="36"/>
        </w:rPr>
        <w:t> </w:t>
      </w:r>
      <w:r>
        <w:rPr/>
        <w:t>de</w:t>
      </w:r>
      <w:r>
        <w:rPr>
          <w:spacing w:val="36"/>
        </w:rPr>
        <w:t> </w:t>
      </w:r>
      <w:r>
        <w:rPr/>
        <w:t>Evaluación</w:t>
      </w:r>
      <w:r>
        <w:rPr>
          <w:spacing w:val="34"/>
        </w:rPr>
        <w:t> </w:t>
      </w:r>
      <w:r>
        <w:rPr/>
        <w:t>de</w:t>
      </w:r>
      <w:r>
        <w:rPr>
          <w:spacing w:val="36"/>
        </w:rPr>
        <w:t> </w:t>
      </w:r>
      <w:r>
        <w:rPr/>
        <w:t>la</w:t>
      </w:r>
      <w:r>
        <w:rPr>
          <w:spacing w:val="37"/>
        </w:rPr>
        <w:t> </w:t>
      </w:r>
      <w:r>
        <w:rPr/>
        <w:t>Política</w:t>
      </w:r>
      <w:r>
        <w:rPr>
          <w:spacing w:val="34"/>
        </w:rPr>
        <w:t> </w:t>
      </w:r>
      <w:r>
        <w:rPr/>
        <w:t>de Desarrollo Social al año t.</w:t>
      </w:r>
    </w:p>
    <w:p>
      <w:pPr>
        <w:pStyle w:val="BodyText"/>
        <w:spacing w:after="0"/>
        <w:sectPr>
          <w:pgSz w:w="12250" w:h="15850"/>
          <w:pgMar w:header="724" w:footer="712" w:top="1880" w:bottom="900" w:left="1417" w:right="1275"/>
        </w:sectPr>
      </w:pPr>
    </w:p>
    <w:p>
      <w:pPr>
        <w:pStyle w:val="BodyText"/>
        <w:spacing w:before="67"/>
      </w:pPr>
    </w:p>
    <w:p>
      <w:pPr>
        <w:pStyle w:val="BodyText"/>
        <w:spacing w:before="1"/>
        <w:ind w:left="289" w:right="147" w:firstLine="299"/>
        <w:jc w:val="both"/>
      </w:pPr>
      <w:r>
        <w:rPr>
          <w:position w:val="-5"/>
        </w:rPr>
        <w:drawing>
          <wp:inline distT="0" distB="0" distL="0" distR="0">
            <wp:extent cx="403859" cy="170815"/>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30" cstate="print"/>
                    <a:stretch>
                      <a:fillRect/>
                    </a:stretch>
                  </pic:blipFill>
                  <pic:spPr>
                    <a:xfrm>
                      <a:off x="0" y="0"/>
                      <a:ext cx="403859" cy="170815"/>
                    </a:xfrm>
                    <a:prstGeom prst="rect">
                      <a:avLst/>
                    </a:prstGeom>
                  </pic:spPr>
                </pic:pic>
              </a:graphicData>
            </a:graphic>
          </wp:inline>
        </w:drawing>
      </w:r>
      <w:r>
        <w:rPr>
          <w:position w:val="-5"/>
        </w:rPr>
      </w:r>
      <w:r>
        <w:rPr/>
        <w:t>= Número de carencias promedio de la población en pobreza extrema en la entidad i más reciente publicada por el Consejo Nacional de Evaluación de la Política de Desarrollo Social al año t.</w:t>
      </w:r>
    </w:p>
    <w:p>
      <w:pPr>
        <w:pStyle w:val="BodyText"/>
        <w:spacing w:before="230"/>
        <w:ind w:left="289" w:right="149" w:firstLine="287"/>
        <w:jc w:val="both"/>
      </w:pPr>
      <w:r>
        <w:rPr>
          <w:position w:val="-7"/>
        </w:rPr>
        <w:drawing>
          <wp:inline distT="0" distB="0" distL="0" distR="0">
            <wp:extent cx="419099" cy="190500"/>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31" cstate="print"/>
                    <a:stretch>
                      <a:fillRect/>
                    </a:stretch>
                  </pic:blipFill>
                  <pic:spPr>
                    <a:xfrm>
                      <a:off x="0" y="0"/>
                      <a:ext cx="419099" cy="190500"/>
                    </a:xfrm>
                    <a:prstGeom prst="rect">
                      <a:avLst/>
                    </a:prstGeom>
                  </pic:spPr>
                </pic:pic>
              </a:graphicData>
            </a:graphic>
          </wp:inline>
        </w:drawing>
      </w:r>
      <w:r>
        <w:rPr>
          <w:position w:val="-7"/>
        </w:rPr>
      </w:r>
      <w:r>
        <w:rPr/>
        <w:t>= Población en Pobreza Extrema de la entidad i, de acuerdo con la información más reciente provista por el Consejo Nacional de Evaluación de la Política de Desarrollo Social; y</w:t>
      </w:r>
    </w:p>
    <w:p>
      <w:pPr>
        <w:pStyle w:val="BodyText"/>
        <w:spacing w:before="1"/>
      </w:pPr>
    </w:p>
    <w:p>
      <w:pPr>
        <w:pStyle w:val="BodyText"/>
        <w:ind w:left="289" w:right="149" w:firstLine="287"/>
        <w:jc w:val="both"/>
      </w:pPr>
      <w:r>
        <w:rPr>
          <w:position w:val="-7"/>
        </w:rPr>
        <w:drawing>
          <wp:inline distT="0" distB="0" distL="0" distR="0">
            <wp:extent cx="550545" cy="190500"/>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32" cstate="print"/>
                    <a:stretch>
                      <a:fillRect/>
                    </a:stretch>
                  </pic:blipFill>
                  <pic:spPr>
                    <a:xfrm>
                      <a:off x="0" y="0"/>
                      <a:ext cx="550545" cy="190500"/>
                    </a:xfrm>
                    <a:prstGeom prst="rect">
                      <a:avLst/>
                    </a:prstGeom>
                  </pic:spPr>
                </pic:pic>
              </a:graphicData>
            </a:graphic>
          </wp:inline>
        </w:drawing>
      </w:r>
      <w:r>
        <w:rPr>
          <w:position w:val="-7"/>
        </w:rPr>
      </w:r>
      <w:r>
        <w:rPr/>
        <w:t>=</w:t>
      </w:r>
      <w:r>
        <w:rPr>
          <w:spacing w:val="-2"/>
        </w:rPr>
        <w:t> </w:t>
      </w:r>
      <w:r>
        <w:rPr/>
        <w:t>Población</w:t>
      </w:r>
      <w:r>
        <w:rPr>
          <w:spacing w:val="-2"/>
        </w:rPr>
        <w:t> </w:t>
      </w:r>
      <w:r>
        <w:rPr/>
        <w:t>en</w:t>
      </w:r>
      <w:r>
        <w:rPr>
          <w:spacing w:val="-1"/>
        </w:rPr>
        <w:t> </w:t>
      </w:r>
      <w:r>
        <w:rPr/>
        <w:t>Pobreza</w:t>
      </w:r>
      <w:r>
        <w:rPr>
          <w:spacing w:val="-1"/>
        </w:rPr>
        <w:t> </w:t>
      </w:r>
      <w:r>
        <w:rPr/>
        <w:t>Extrema</w:t>
      </w:r>
      <w:r>
        <w:rPr>
          <w:spacing w:val="-1"/>
        </w:rPr>
        <w:t> </w:t>
      </w:r>
      <w:r>
        <w:rPr/>
        <w:t>de</w:t>
      </w:r>
      <w:r>
        <w:rPr>
          <w:spacing w:val="-2"/>
        </w:rPr>
        <w:t> </w:t>
      </w:r>
      <w:r>
        <w:rPr/>
        <w:t>la</w:t>
      </w:r>
      <w:r>
        <w:rPr>
          <w:spacing w:val="-1"/>
        </w:rPr>
        <w:t> </w:t>
      </w:r>
      <w:r>
        <w:rPr/>
        <w:t>entidad</w:t>
      </w:r>
      <w:r>
        <w:rPr>
          <w:spacing w:val="-2"/>
        </w:rPr>
        <w:t> </w:t>
      </w:r>
      <w:r>
        <w:rPr/>
        <w:t>i,</w:t>
      </w:r>
      <w:r>
        <w:rPr>
          <w:spacing w:val="-1"/>
        </w:rPr>
        <w:t> </w:t>
      </w:r>
      <w:r>
        <w:rPr/>
        <w:t>de</w:t>
      </w:r>
      <w:r>
        <w:rPr>
          <w:spacing w:val="-2"/>
        </w:rPr>
        <w:t> </w:t>
      </w:r>
      <w:r>
        <w:rPr/>
        <w:t>acuerdo</w:t>
      </w:r>
      <w:r>
        <w:rPr>
          <w:spacing w:val="-2"/>
        </w:rPr>
        <w:t> </w:t>
      </w:r>
      <w:r>
        <w:rPr/>
        <w:t>con</w:t>
      </w:r>
      <w:r>
        <w:rPr>
          <w:spacing w:val="-2"/>
        </w:rPr>
        <w:t> </w:t>
      </w:r>
      <w:r>
        <w:rPr/>
        <w:t>la</w:t>
      </w:r>
      <w:r>
        <w:rPr>
          <w:spacing w:val="-1"/>
        </w:rPr>
        <w:t> </w:t>
      </w:r>
      <w:r>
        <w:rPr/>
        <w:t>información</w:t>
      </w:r>
      <w:r>
        <w:rPr>
          <w:spacing w:val="-2"/>
        </w:rPr>
        <w:t> </w:t>
      </w:r>
      <w:r>
        <w:rPr/>
        <w:t>inmediata anterior a la más reciente provista por el Consejo Nacional de Evaluación de la Política de Desarrollo </w:t>
      </w:r>
      <w:r>
        <w:rPr>
          <w:spacing w:val="-2"/>
        </w:rPr>
        <w:t>Social.</w:t>
      </w:r>
    </w:p>
    <w:p>
      <w:pPr>
        <w:pStyle w:val="BodyText"/>
        <w:spacing w:before="229"/>
        <w:ind w:left="1" w:right="143" w:firstLine="288"/>
        <w:jc w:val="both"/>
      </w:pPr>
      <w:r>
        <w:rPr/>
        <w:t>La fórmula del Fondo de Aportaciones para la Infraestructura Social no será aplicable en el evento de que en el año de cálculo dicho Fondo sea inferior a la participación que la totalidad de los Estados hayan recibido en el 2013 por concepto del mismo Fondo. En dicho supuesto, la distribución se realizará en función de la cantidad efectivamente generada en el año de cálculo y de acuerdo con el coeficiente efectivo que cada Estado haya recibido por concepto del Fondo de Aportaciones para la Infraestructura Social en el año 2013. De cumplirse dicho supuesto el Distrito Federal recibirá la proporción que representen los 686,880,919.32 pesos que recibirá de F</w:t>
      </w:r>
      <w:r>
        <w:rPr>
          <w:position w:val="-4"/>
          <w:sz w:val="13"/>
        </w:rPr>
        <w:t>i,2013</w:t>
      </w:r>
      <w:r>
        <w:rPr/>
        <w:t>.</w:t>
      </w:r>
    </w:p>
    <w:p>
      <w:pPr>
        <w:pStyle w:val="BodyText"/>
        <w:spacing w:before="4"/>
      </w:pPr>
    </w:p>
    <w:p>
      <w:pPr>
        <w:pStyle w:val="BodyText"/>
        <w:spacing w:before="1"/>
        <w:ind w:left="1" w:right="146" w:firstLine="288"/>
        <w:jc w:val="both"/>
      </w:pPr>
      <w:r>
        <w:rPr/>
        <w:t>Para efectos de la formulación anual del Proyecto de Presupuesto de Egresos de la Federación, el Ejecutivo Federal, por conducto de la Secretaría de Desarrollo Social, publicará, a más tardar el 15 de agosto de cada año, en el Diario Oficial de la Federación las variables y fuentes de información para el cálculo de esta</w:t>
      </w:r>
      <w:r>
        <w:rPr>
          <w:spacing w:val="-2"/>
        </w:rPr>
        <w:t> </w:t>
      </w:r>
      <w:r>
        <w:rPr/>
        <w:t>fórmula y</w:t>
      </w:r>
      <w:r>
        <w:rPr>
          <w:spacing w:val="-4"/>
        </w:rPr>
        <w:t> </w:t>
      </w:r>
      <w:r>
        <w:rPr/>
        <w:t>dará</w:t>
      </w:r>
      <w:r>
        <w:rPr>
          <w:spacing w:val="-1"/>
        </w:rPr>
        <w:t> </w:t>
      </w:r>
      <w:r>
        <w:rPr/>
        <w:t>a</w:t>
      </w:r>
      <w:r>
        <w:rPr>
          <w:spacing w:val="-1"/>
        </w:rPr>
        <w:t> </w:t>
      </w:r>
      <w:r>
        <w:rPr/>
        <w:t>conocer</w:t>
      </w:r>
      <w:r>
        <w:rPr>
          <w:spacing w:val="-1"/>
        </w:rPr>
        <w:t> </w:t>
      </w:r>
      <w:r>
        <w:rPr/>
        <w:t>los porcentajes de</w:t>
      </w:r>
      <w:r>
        <w:rPr>
          <w:spacing w:val="-2"/>
        </w:rPr>
        <w:t> </w:t>
      </w:r>
      <w:r>
        <w:rPr/>
        <w:t>participación</w:t>
      </w:r>
      <w:r>
        <w:rPr>
          <w:spacing w:val="-2"/>
        </w:rPr>
        <w:t> </w:t>
      </w:r>
      <w:r>
        <w:rPr/>
        <w:t>que se asignará</w:t>
      </w:r>
      <w:r>
        <w:rPr>
          <w:spacing w:val="-1"/>
        </w:rPr>
        <w:t> </w:t>
      </w:r>
      <w:r>
        <w:rPr/>
        <w:t>a</w:t>
      </w:r>
      <w:r>
        <w:rPr>
          <w:spacing w:val="-1"/>
        </w:rPr>
        <w:t> </w:t>
      </w:r>
      <w:r>
        <w:rPr/>
        <w:t>cada entidad.</w:t>
      </w:r>
    </w:p>
    <w:p>
      <w:pPr>
        <w:spacing w:line="183" w:lineRule="exact" w:before="0"/>
        <w:ind w:left="41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31-12-1999,</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5"/>
        <w:rPr>
          <w:rFonts w:ascii="Times New Roman"/>
          <w:i/>
          <w:sz w:val="16"/>
        </w:rPr>
      </w:pPr>
    </w:p>
    <w:p>
      <w:pPr>
        <w:pStyle w:val="BodyText"/>
        <w:ind w:left="1" w:right="144" w:firstLine="288"/>
        <w:jc w:val="both"/>
      </w:pPr>
      <w:bookmarkStart w:name="Artículo_35" w:id="50"/>
      <w:bookmarkEnd w:id="50"/>
      <w:r>
        <w:rPr/>
      </w:r>
      <w:r>
        <w:rPr>
          <w:rFonts w:ascii="Arial" w:hAnsi="Arial"/>
          <w:b/>
        </w:rPr>
        <w:t>Artículo 35.- </w:t>
      </w:r>
      <w:r>
        <w:rPr/>
        <w:t>Las entidades distribuirán entre los municipios y las demarcaciones territoriales los recursos del Fondo para la Infraestructura Social Municipal y de las Demarcaciones Territoriales del Distrito Federal, con una fórmula igual a la señalada en el artículo anterior, que enfatice el carácter redistributivo de estas aportaciones hacia aquellos municipios y demarcaciones territoriales con mayor magnitud y profundidad de pobreza extrema. Para ello, utilizarán la información de pobreza extrema más reciente a nivel municipal y de las demarcaciones territoriales, a que se refiere el artículo anterior, publicada por el Consejo Nacional de Evaluación de la Política de Desarrollo Social.</w:t>
      </w:r>
    </w:p>
    <w:p>
      <w:pPr>
        <w:pStyle w:val="BodyText"/>
        <w:spacing w:before="3"/>
      </w:pPr>
    </w:p>
    <w:p>
      <w:pPr>
        <w:pStyle w:val="BodyText"/>
        <w:ind w:left="1" w:right="150" w:firstLine="288"/>
        <w:jc w:val="both"/>
      </w:pPr>
      <w:r>
        <w:rPr/>
        <w:t>Con objeto de apoyar a las entidades en la aplicación de sus fórmulas, la Secretaría de Desarrollo Social publicará en el Diario Oficial de la Federación, a más tardar en los primeros diez días del ejercicio fiscal de que se trate, las variables y fuentes de información disponibles a nivel municipal y de las demarcaciones territoriales para cada entidad.</w:t>
      </w:r>
    </w:p>
    <w:p>
      <w:pPr>
        <w:pStyle w:val="BodyText"/>
      </w:pPr>
    </w:p>
    <w:p>
      <w:pPr>
        <w:pStyle w:val="BodyText"/>
        <w:ind w:left="1" w:right="143" w:firstLine="288"/>
        <w:jc w:val="both"/>
      </w:pPr>
      <w:r>
        <w:rPr/>
        <w:t>Las entidades, con base en lo previsto en los párrafos anteriores y previo convenio con la Secretaría de Desarrollo Social, calcularán las distribuciones del Fondo para la Infraestructura Social Municipal y de las Demarcaciones Territoriales del Distrito Federal correspondientes a sus municipios y demarcaciones territoriales, debiendo publicarlas en sus respectivos órganos oficiales de difusión, a más tardar el 31 de enero del ejercicio fiscal aplicable, así como la fórmula y su respectiva metodología, justificando cada </w:t>
      </w:r>
      <w:r>
        <w:rPr>
          <w:spacing w:val="-2"/>
        </w:rPr>
        <w:t>elemento.</w:t>
      </w:r>
    </w:p>
    <w:p>
      <w:pPr>
        <w:pStyle w:val="BodyText"/>
        <w:spacing w:before="1"/>
      </w:pPr>
    </w:p>
    <w:p>
      <w:pPr>
        <w:pStyle w:val="BodyText"/>
        <w:ind w:left="1" w:right="140" w:firstLine="288"/>
        <w:jc w:val="both"/>
      </w:pPr>
      <w:r>
        <w:rPr/>
        <w:t>A más tardar el 25 de enero del ejercicio fiscal de que se trate, los convenios referidos en el párrafo anterior deberán remitirse a la Secretaría de Desarrollo Social, a través de sus Delegaciones Estatales o instancia equivalente en el Distrito Federal, una vez que hayan sido suscritos por éstas y por el gobierno de la entidad correspondiente, con el fin de que dicha Secretaría publique las distribuciones convenidas en su página oficial de Internet a más tardar el 31 de enero de dicho ejercicio fiscal.</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right="142" w:firstLine="288"/>
        <w:jc w:val="both"/>
      </w:pPr>
      <w:r>
        <w:rPr/>
        <w:t>En caso de que así lo requieran las entidades, la Secretaría de Desarrollo Social podrá coadyuvar en el cálculo de la distribución del Fondo para la Infraestructura Social Municipal y de las Demarcaciones Territoriales del Distrito Federal correspondientes a sus municipios y demarcaciones territoriales.</w:t>
      </w:r>
    </w:p>
    <w:p>
      <w:pPr>
        <w:pStyle w:val="BodyText"/>
      </w:pPr>
    </w:p>
    <w:p>
      <w:pPr>
        <w:pStyle w:val="BodyText"/>
        <w:ind w:left="1" w:right="147" w:firstLine="288"/>
        <w:jc w:val="both"/>
      </w:pPr>
      <w:r>
        <w:rPr/>
        <w:t>Las entidades deberán entregar a sus respectivos municipios y demarcaciones territoriales, los recursos que les corresponden conforme al calendario de enteros en que la Federación lo haga a las entidades, en los términos del último párrafo del artículo 32 de la presente Ley. Dicho calendario deberá comunicarse a los gobiernos municipales y de las demarcaciones territoriales por parte de los gobiernos de</w:t>
      </w:r>
      <w:r>
        <w:rPr>
          <w:spacing w:val="-2"/>
        </w:rPr>
        <w:t> </w:t>
      </w:r>
      <w:r>
        <w:rPr/>
        <w:t>las</w:t>
      </w:r>
      <w:r>
        <w:rPr>
          <w:spacing w:val="-2"/>
        </w:rPr>
        <w:t> </w:t>
      </w:r>
      <w:r>
        <w:rPr/>
        <w:t>entidades y</w:t>
      </w:r>
      <w:r>
        <w:rPr>
          <w:spacing w:val="-6"/>
        </w:rPr>
        <w:t> </w:t>
      </w:r>
      <w:r>
        <w:rPr/>
        <w:t>publicarse</w:t>
      </w:r>
      <w:r>
        <w:rPr>
          <w:spacing w:val="-3"/>
        </w:rPr>
        <w:t> </w:t>
      </w:r>
      <w:r>
        <w:rPr/>
        <w:t>por estos</w:t>
      </w:r>
      <w:r>
        <w:rPr>
          <w:spacing w:val="-2"/>
        </w:rPr>
        <w:t> </w:t>
      </w:r>
      <w:r>
        <w:rPr/>
        <w:t>últimos</w:t>
      </w:r>
      <w:r>
        <w:rPr>
          <w:spacing w:val="-2"/>
        </w:rPr>
        <w:t> </w:t>
      </w:r>
      <w:r>
        <w:rPr/>
        <w:t>a</w:t>
      </w:r>
      <w:r>
        <w:rPr>
          <w:spacing w:val="-4"/>
        </w:rPr>
        <w:t> </w:t>
      </w:r>
      <w:r>
        <w:rPr/>
        <w:t>más</w:t>
      </w:r>
      <w:r>
        <w:rPr>
          <w:spacing w:val="-2"/>
        </w:rPr>
        <w:t> </w:t>
      </w:r>
      <w:r>
        <w:rPr/>
        <w:t>tardar</w:t>
      </w:r>
      <w:r>
        <w:rPr>
          <w:spacing w:val="-2"/>
        </w:rPr>
        <w:t> </w:t>
      </w:r>
      <w:r>
        <w:rPr/>
        <w:t>el</w:t>
      </w:r>
      <w:r>
        <w:rPr>
          <w:spacing w:val="-2"/>
        </w:rPr>
        <w:t> </w:t>
      </w:r>
      <w:r>
        <w:rPr/>
        <w:t>día</w:t>
      </w:r>
      <w:r>
        <w:rPr>
          <w:spacing w:val="-1"/>
        </w:rPr>
        <w:t> </w:t>
      </w:r>
      <w:r>
        <w:rPr/>
        <w:t>31</w:t>
      </w:r>
      <w:r>
        <w:rPr>
          <w:spacing w:val="-1"/>
        </w:rPr>
        <w:t> </w:t>
      </w:r>
      <w:r>
        <w:rPr/>
        <w:t>de</w:t>
      </w:r>
      <w:r>
        <w:rPr>
          <w:spacing w:val="-1"/>
        </w:rPr>
        <w:t> </w:t>
      </w:r>
      <w:r>
        <w:rPr/>
        <w:t>enero</w:t>
      </w:r>
      <w:r>
        <w:rPr>
          <w:spacing w:val="-1"/>
        </w:rPr>
        <w:t> </w:t>
      </w:r>
      <w:r>
        <w:rPr/>
        <w:t>de</w:t>
      </w:r>
      <w:r>
        <w:rPr>
          <w:spacing w:val="-3"/>
        </w:rPr>
        <w:t> </w:t>
      </w:r>
      <w:r>
        <w:rPr/>
        <w:t>cada</w:t>
      </w:r>
      <w:r>
        <w:rPr>
          <w:spacing w:val="-1"/>
        </w:rPr>
        <w:t> </w:t>
      </w:r>
      <w:r>
        <w:rPr/>
        <w:t>ejercicio</w:t>
      </w:r>
      <w:r>
        <w:rPr>
          <w:spacing w:val="-3"/>
        </w:rPr>
        <w:t> </w:t>
      </w:r>
      <w:r>
        <w:rPr/>
        <w:t>fiscal,</w:t>
      </w:r>
      <w:r>
        <w:rPr>
          <w:spacing w:val="-1"/>
        </w:rPr>
        <w:t> </w:t>
      </w:r>
      <w:r>
        <w:rPr/>
        <w:t>en su respectivo órgano de difusión oficial.</w:t>
      </w:r>
    </w:p>
    <w:p>
      <w:pPr>
        <w:spacing w:line="182" w:lineRule="exact" w:before="0"/>
        <w:ind w:left="336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31-12-1998,</w:t>
      </w:r>
      <w:r>
        <w:rPr>
          <w:rFonts w:ascii="Times New Roman" w:hAnsi="Times New Roman"/>
          <w:i/>
          <w:color w:val="0000FF"/>
          <w:spacing w:val="-9"/>
          <w:sz w:val="16"/>
        </w:rPr>
        <w:t> </w:t>
      </w:r>
      <w:r>
        <w:rPr>
          <w:rFonts w:ascii="Times New Roman" w:hAnsi="Times New Roman"/>
          <w:i/>
          <w:color w:val="0000FF"/>
          <w:sz w:val="16"/>
        </w:rPr>
        <w:t>31-12-1999,</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8"/>
        <w:rPr>
          <w:rFonts w:ascii="Times New Roman"/>
          <w:i/>
          <w:sz w:val="16"/>
        </w:rPr>
      </w:pPr>
    </w:p>
    <w:p>
      <w:pPr>
        <w:pStyle w:val="BodyText"/>
        <w:ind w:left="1" w:right="140" w:firstLine="288"/>
        <w:jc w:val="both"/>
      </w:pPr>
      <w:bookmarkStart w:name="Artículo_36" w:id="51"/>
      <w:bookmarkEnd w:id="51"/>
      <w:r>
        <w:rPr/>
      </w:r>
      <w:r>
        <w:rPr>
          <w:rFonts w:ascii="Arial" w:hAnsi="Arial"/>
          <w:b/>
        </w:rPr>
        <w:t>Artículo 36.- </w:t>
      </w:r>
      <w:r>
        <w:rPr/>
        <w:t>El Fondo de Aportaciones para el Fortalecimiento de los Municipios y de las Demarcaciones Territoriales del Distrito Federal se determinará anualmente en el Presupuesto de Egresos de la Federación con recursos federales, por un monto equivalente, sólo para efectos de referencia, como sigue:</w:t>
      </w:r>
    </w:p>
    <w:p>
      <w:pPr>
        <w:pStyle w:val="ListParagraph"/>
        <w:numPr>
          <w:ilvl w:val="0"/>
          <w:numId w:val="12"/>
        </w:numPr>
        <w:tabs>
          <w:tab w:pos="719" w:val="left" w:leader="none"/>
          <w:tab w:pos="721" w:val="left" w:leader="none"/>
        </w:tabs>
        <w:spacing w:line="240" w:lineRule="auto" w:before="229" w:after="0"/>
        <w:ind w:left="721" w:right="138" w:hanging="432"/>
        <w:jc w:val="both"/>
        <w:rPr>
          <w:sz w:val="20"/>
        </w:rPr>
      </w:pPr>
      <w:r>
        <w:rPr>
          <w:sz w:val="20"/>
        </w:rPr>
        <w:t>Con el 2.35% de la recaudación federal participable a que se refiere el artículo 2o. de esta Ley, según estimación que de la misma se realice en el propio presupuesto, con base en lo que al efecto establezca la Ley</w:t>
      </w:r>
      <w:r>
        <w:rPr>
          <w:spacing w:val="-2"/>
          <w:sz w:val="20"/>
        </w:rPr>
        <w:t> </w:t>
      </w:r>
      <w:r>
        <w:rPr>
          <w:sz w:val="20"/>
        </w:rPr>
        <w:t>de Ingresos de la Federación para ese ejercicio. Este Fondo se enterará mensualmente</w:t>
      </w:r>
      <w:r>
        <w:rPr>
          <w:spacing w:val="-1"/>
          <w:sz w:val="20"/>
        </w:rPr>
        <w:t> </w:t>
      </w:r>
      <w:r>
        <w:rPr>
          <w:sz w:val="20"/>
        </w:rPr>
        <w:t>por partes iguales a</w:t>
      </w:r>
      <w:r>
        <w:rPr>
          <w:spacing w:val="-1"/>
          <w:sz w:val="20"/>
        </w:rPr>
        <w:t> </w:t>
      </w:r>
      <w:r>
        <w:rPr>
          <w:sz w:val="20"/>
        </w:rPr>
        <w:t>los Municipios,</w:t>
      </w:r>
      <w:r>
        <w:rPr>
          <w:spacing w:val="-1"/>
          <w:sz w:val="20"/>
        </w:rPr>
        <w:t> </w:t>
      </w:r>
      <w:r>
        <w:rPr>
          <w:sz w:val="20"/>
        </w:rPr>
        <w:t>por conducto</w:t>
      </w:r>
      <w:r>
        <w:rPr>
          <w:spacing w:val="-1"/>
          <w:sz w:val="20"/>
        </w:rPr>
        <w:t> </w:t>
      </w:r>
      <w:r>
        <w:rPr>
          <w:sz w:val="20"/>
        </w:rPr>
        <w:t>de los Estados, de</w:t>
      </w:r>
      <w:r>
        <w:rPr>
          <w:spacing w:val="-2"/>
          <w:sz w:val="20"/>
        </w:rPr>
        <w:t> </w:t>
      </w:r>
      <w:r>
        <w:rPr>
          <w:sz w:val="20"/>
        </w:rPr>
        <w:t>manera</w:t>
      </w:r>
      <w:r>
        <w:rPr>
          <w:spacing w:val="-1"/>
          <w:sz w:val="20"/>
        </w:rPr>
        <w:t> </w:t>
      </w:r>
      <w:r>
        <w:rPr>
          <w:sz w:val="20"/>
        </w:rPr>
        <w:t>ágil y directa sin más limitaciones ni restricciones, incluyendo aquellas de carácter administrativo, que las correspondientes a los fines que se establecen en el artículo 37 de este ordenamiento; y</w:t>
      </w:r>
    </w:p>
    <w:p>
      <w:pPr>
        <w:pStyle w:val="BodyText"/>
        <w:spacing w:before="1"/>
      </w:pPr>
    </w:p>
    <w:p>
      <w:pPr>
        <w:pStyle w:val="ListParagraph"/>
        <w:numPr>
          <w:ilvl w:val="0"/>
          <w:numId w:val="12"/>
        </w:numPr>
        <w:tabs>
          <w:tab w:pos="719" w:val="left" w:leader="none"/>
          <w:tab w:pos="721" w:val="left" w:leader="none"/>
        </w:tabs>
        <w:spacing w:line="240" w:lineRule="auto" w:before="0" w:after="0"/>
        <w:ind w:left="721" w:right="144" w:hanging="432"/>
        <w:jc w:val="both"/>
        <w:rPr>
          <w:sz w:val="20"/>
        </w:rPr>
      </w:pPr>
      <w:r>
        <w:rPr>
          <w:sz w:val="20"/>
        </w:rPr>
        <w:t>Al Distrito Federal y a sus Demarcaciones Territoriales, los fondos correspondientes les serán entregados en la misma forma que al resto de los Estados y Municipios, pero calculados como el 0.2123% de la recaudación federal participable, según estimación que de la misma se realice en el propio presupuesto, con base en lo que al efecto establezca la Ley de Ingresos de la Federación para ese ejercicio.</w:t>
      </w:r>
    </w:p>
    <w:p>
      <w:pPr>
        <w:spacing w:line="182" w:lineRule="exact" w:before="0"/>
        <w:ind w:left="35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31-12-1999.</w:t>
      </w:r>
      <w:r>
        <w:rPr>
          <w:rFonts w:ascii="Times New Roman" w:hAnsi="Times New Roman"/>
          <w:i/>
          <w:color w:val="0000FF"/>
          <w:spacing w:val="-8"/>
          <w:sz w:val="16"/>
        </w:rPr>
        <w:t> </w:t>
      </w: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9"/>
        <w:rPr>
          <w:rFonts w:ascii="Times New Roman"/>
          <w:i/>
          <w:sz w:val="16"/>
        </w:rPr>
      </w:pPr>
    </w:p>
    <w:p>
      <w:pPr>
        <w:pStyle w:val="BodyText"/>
        <w:spacing w:before="1"/>
        <w:ind w:left="1" w:right="146" w:firstLine="288"/>
        <w:jc w:val="both"/>
      </w:pPr>
      <w:r>
        <w:rPr/>
        <w:t>Al efecto, los Gobiernos Estatales y del Distrito Federal deberán publicar en su respectivo Periódico Oficial las variables y fórmulas utilizadas para determinar los montos que correspondan a cada Municipio o Demarcación Territorial por concepto de este Fondo, así como el calendario de ministraciones, a más tardar el 31 de enero de cada año.</w:t>
      </w:r>
    </w:p>
    <w:p>
      <w:pPr>
        <w:spacing w:line="240" w:lineRule="auto" w:before="0"/>
        <w:ind w:left="4550" w:right="138" w:firstLine="49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31-12-2000.</w:t>
      </w:r>
      <w:r>
        <w:rPr>
          <w:rFonts w:ascii="Times New Roman" w:hAnsi="Times New Roman"/>
          <w:i/>
          <w:color w:val="0000FF"/>
          <w:spacing w:val="-3"/>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14-07-2003</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09-12-2013:</w:t>
      </w:r>
      <w:r>
        <w:rPr>
          <w:rFonts w:ascii="Times New Roman" w:hAnsi="Times New Roman"/>
          <w:i/>
          <w:color w:val="585858"/>
          <w:spacing w:val="-3"/>
          <w:sz w:val="16"/>
        </w:rPr>
        <w:t> </w:t>
      </w:r>
      <w:r>
        <w:rPr>
          <w:rFonts w:ascii="Times New Roman" w:hAnsi="Times New Roman"/>
          <w:i/>
          <w:color w:val="585858"/>
          <w:sz w:val="16"/>
        </w:rPr>
        <w:t>Derogó</w:t>
      </w:r>
      <w:r>
        <w:rPr>
          <w:rFonts w:ascii="Times New Roman" w:hAnsi="Times New Roman"/>
          <w:i/>
          <w:color w:val="585858"/>
          <w:spacing w:val="-3"/>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artículo</w:t>
      </w:r>
      <w:r>
        <w:rPr>
          <w:rFonts w:ascii="Times New Roman" w:hAnsi="Times New Roman"/>
          <w:i/>
          <w:color w:val="585858"/>
          <w:spacing w:val="-3"/>
          <w:sz w:val="16"/>
        </w:rPr>
        <w:t> </w:t>
      </w:r>
      <w:r>
        <w:rPr>
          <w:rFonts w:ascii="Times New Roman" w:hAnsi="Times New Roman"/>
          <w:i/>
          <w:color w:val="585858"/>
          <w:sz w:val="16"/>
        </w:rPr>
        <w:t>el</w:t>
      </w:r>
      <w:r>
        <w:rPr>
          <w:rFonts w:ascii="Times New Roman" w:hAnsi="Times New Roman"/>
          <w:i/>
          <w:color w:val="585858"/>
          <w:spacing w:val="-3"/>
          <w:sz w:val="16"/>
        </w:rPr>
        <w:t> </w:t>
      </w:r>
      <w:r>
        <w:rPr>
          <w:rFonts w:ascii="Times New Roman" w:hAnsi="Times New Roman"/>
          <w:i/>
          <w:color w:val="585858"/>
          <w:sz w:val="16"/>
        </w:rPr>
        <w:t>entonces</w:t>
      </w:r>
      <w:r>
        <w:rPr>
          <w:rFonts w:ascii="Times New Roman" w:hAnsi="Times New Roman"/>
          <w:i/>
          <w:color w:val="585858"/>
          <w:spacing w:val="-4"/>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z w:val="16"/>
        </w:rPr>
        <w:t>tercero</w:t>
      </w:r>
      <w:r>
        <w:rPr>
          <w:rFonts w:ascii="Times New Roman" w:hAnsi="Times New Roman"/>
          <w:i/>
          <w:color w:val="585858"/>
          <w:spacing w:val="40"/>
          <w:sz w:val="16"/>
        </w:rPr>
        <w:t> </w:t>
      </w:r>
      <w:r>
        <w:rPr>
          <w:rFonts w:ascii="Times New Roman" w:hAnsi="Times New Roman"/>
          <w:i/>
          <w:color w:val="0000FF"/>
          <w:sz w:val="16"/>
        </w:rPr>
        <w:t>Artículo adicionado DOF 29-12-1997. Reformado DOF 31-12-1998</w:t>
      </w:r>
    </w:p>
    <w:p>
      <w:pPr>
        <w:pStyle w:val="BodyText"/>
        <w:spacing w:before="43"/>
        <w:rPr>
          <w:rFonts w:ascii="Times New Roman"/>
          <w:i/>
          <w:sz w:val="16"/>
        </w:rPr>
      </w:pPr>
    </w:p>
    <w:p>
      <w:pPr>
        <w:pStyle w:val="BodyText"/>
        <w:ind w:left="1" w:right="143" w:firstLine="288"/>
        <w:jc w:val="both"/>
      </w:pPr>
      <w:bookmarkStart w:name="Artículo_37" w:id="52"/>
      <w:bookmarkEnd w:id="52"/>
      <w:r>
        <w:rPr/>
      </w:r>
      <w:r>
        <w:rPr>
          <w:rFonts w:ascii="Arial" w:hAnsi="Arial"/>
          <w:b/>
        </w:rPr>
        <w:t>Artículo 37.- </w:t>
      </w:r>
      <w:r>
        <w:rPr/>
        <w:t>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w:t>
      </w:r>
      <w:r>
        <w:rPr>
          <w:spacing w:val="40"/>
        </w:rPr>
        <w:t> </w:t>
      </w:r>
      <w:r>
        <w:rPr/>
        <w:t>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p>
    <w:p>
      <w:pPr>
        <w:spacing w:before="0"/>
        <w:ind w:left="171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31-12-1998,</w:t>
      </w:r>
      <w:r>
        <w:rPr>
          <w:rFonts w:ascii="Times New Roman" w:hAnsi="Times New Roman"/>
          <w:i/>
          <w:color w:val="0000FF"/>
          <w:spacing w:val="-9"/>
          <w:sz w:val="16"/>
        </w:rPr>
        <w:t> </w:t>
      </w:r>
      <w:r>
        <w:rPr>
          <w:rFonts w:ascii="Times New Roman" w:hAnsi="Times New Roman"/>
          <w:i/>
          <w:color w:val="0000FF"/>
          <w:sz w:val="16"/>
        </w:rPr>
        <w:t>31-12-1999,</w:t>
      </w:r>
      <w:r>
        <w:rPr>
          <w:rFonts w:ascii="Times New Roman" w:hAnsi="Times New Roman"/>
          <w:i/>
          <w:color w:val="0000FF"/>
          <w:spacing w:val="-9"/>
          <w:sz w:val="16"/>
        </w:rPr>
        <w:t> </w:t>
      </w:r>
      <w:r>
        <w:rPr>
          <w:rFonts w:ascii="Times New Roman" w:hAnsi="Times New Roman"/>
          <w:i/>
          <w:color w:val="0000FF"/>
          <w:sz w:val="16"/>
        </w:rPr>
        <w:t>31-12-2000,</w:t>
      </w:r>
      <w:r>
        <w:rPr>
          <w:rFonts w:ascii="Times New Roman" w:hAnsi="Times New Roman"/>
          <w:i/>
          <w:color w:val="0000FF"/>
          <w:spacing w:val="-9"/>
          <w:sz w:val="16"/>
        </w:rPr>
        <w:t> </w:t>
      </w:r>
      <w:r>
        <w:rPr>
          <w:rFonts w:ascii="Times New Roman" w:hAnsi="Times New Roman"/>
          <w:i/>
          <w:color w:val="0000FF"/>
          <w:sz w:val="16"/>
        </w:rPr>
        <w:t>21-12-2007,</w:t>
      </w:r>
      <w:r>
        <w:rPr>
          <w:rFonts w:ascii="Times New Roman" w:hAnsi="Times New Roman"/>
          <w:i/>
          <w:color w:val="0000FF"/>
          <w:spacing w:val="-9"/>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line="242" w:lineRule="auto"/>
        <w:ind w:left="1" w:right="147" w:firstLine="288"/>
        <w:jc w:val="both"/>
      </w:pPr>
      <w:bookmarkStart w:name="Artículo_38" w:id="53"/>
      <w:bookmarkEnd w:id="53"/>
      <w:r>
        <w:rPr/>
      </w:r>
      <w:r>
        <w:rPr>
          <w:rFonts w:ascii="Arial" w:hAnsi="Arial"/>
          <w:b/>
        </w:rPr>
        <w:t>Artículo 38.- </w:t>
      </w:r>
      <w:r>
        <w:rPr/>
        <w:t>El Ejecutivo Federal, a través de la Secretaría de Hacienda y Crédito Público, distribuirá el Fondo de Aportaciones para el Fortalecimiento de los Municipios y de las Demarcaciones Territoriales del</w:t>
      </w:r>
      <w:r>
        <w:rPr>
          <w:spacing w:val="31"/>
        </w:rPr>
        <w:t> </w:t>
      </w:r>
      <w:r>
        <w:rPr/>
        <w:t>Distrito</w:t>
      </w:r>
      <w:r>
        <w:rPr>
          <w:spacing w:val="32"/>
        </w:rPr>
        <w:t> </w:t>
      </w:r>
      <w:r>
        <w:rPr/>
        <w:t>Federal</w:t>
      </w:r>
      <w:r>
        <w:rPr>
          <w:spacing w:val="31"/>
        </w:rPr>
        <w:t> </w:t>
      </w:r>
      <w:r>
        <w:rPr/>
        <w:t>a</w:t>
      </w:r>
      <w:r>
        <w:rPr>
          <w:spacing w:val="32"/>
        </w:rPr>
        <w:t> </w:t>
      </w:r>
      <w:r>
        <w:rPr/>
        <w:t>que</w:t>
      </w:r>
      <w:r>
        <w:rPr>
          <w:spacing w:val="34"/>
        </w:rPr>
        <w:t> </w:t>
      </w:r>
      <w:r>
        <w:rPr/>
        <w:t>se</w:t>
      </w:r>
      <w:r>
        <w:rPr>
          <w:spacing w:val="32"/>
        </w:rPr>
        <w:t> </w:t>
      </w:r>
      <w:r>
        <w:rPr/>
        <w:t>refiere</w:t>
      </w:r>
      <w:r>
        <w:rPr>
          <w:spacing w:val="33"/>
        </w:rPr>
        <w:t> </w:t>
      </w:r>
      <w:r>
        <w:rPr/>
        <w:t>el</w:t>
      </w:r>
      <w:r>
        <w:rPr>
          <w:spacing w:val="31"/>
        </w:rPr>
        <w:t> </w:t>
      </w:r>
      <w:r>
        <w:rPr/>
        <w:t>inciso</w:t>
      </w:r>
      <w:r>
        <w:rPr>
          <w:spacing w:val="34"/>
        </w:rPr>
        <w:t> </w:t>
      </w:r>
      <w:r>
        <w:rPr/>
        <w:t>a)</w:t>
      </w:r>
      <w:r>
        <w:rPr>
          <w:spacing w:val="33"/>
        </w:rPr>
        <w:t> </w:t>
      </w:r>
      <w:r>
        <w:rPr/>
        <w:t>del</w:t>
      </w:r>
      <w:r>
        <w:rPr>
          <w:spacing w:val="34"/>
        </w:rPr>
        <w:t> </w:t>
      </w:r>
      <w:r>
        <w:rPr/>
        <w:t>artículo</w:t>
      </w:r>
      <w:r>
        <w:rPr>
          <w:spacing w:val="32"/>
        </w:rPr>
        <w:t> </w:t>
      </w:r>
      <w:r>
        <w:rPr/>
        <w:t>36</w:t>
      </w:r>
      <w:r>
        <w:rPr>
          <w:spacing w:val="32"/>
        </w:rPr>
        <w:t> </w:t>
      </w:r>
      <w:r>
        <w:rPr/>
        <w:t>de</w:t>
      </w:r>
      <w:r>
        <w:rPr>
          <w:spacing w:val="32"/>
        </w:rPr>
        <w:t> </w:t>
      </w:r>
      <w:r>
        <w:rPr/>
        <w:t>esta</w:t>
      </w:r>
      <w:r>
        <w:rPr>
          <w:spacing w:val="34"/>
        </w:rPr>
        <w:t> </w:t>
      </w:r>
      <w:r>
        <w:rPr/>
        <w:t>Ley,</w:t>
      </w:r>
      <w:r>
        <w:rPr>
          <w:spacing w:val="35"/>
        </w:rPr>
        <w:t> </w:t>
      </w:r>
      <w:r>
        <w:rPr/>
        <w:t>en</w:t>
      </w:r>
      <w:r>
        <w:rPr>
          <w:spacing w:val="32"/>
        </w:rPr>
        <w:t> </w:t>
      </w:r>
      <w:r>
        <w:rPr/>
        <w:t>proporción</w:t>
      </w:r>
      <w:r>
        <w:rPr>
          <w:spacing w:val="32"/>
        </w:rPr>
        <w:t> </w:t>
      </w:r>
      <w:r>
        <w:rPr/>
        <w:t>directa</w:t>
      </w:r>
      <w:r>
        <w:rPr>
          <w:spacing w:val="32"/>
        </w:rPr>
        <w:t> </w:t>
      </w:r>
      <w:r>
        <w:rPr/>
        <w:t>al</w:t>
      </w:r>
    </w:p>
    <w:p>
      <w:pPr>
        <w:pStyle w:val="BodyText"/>
        <w:spacing w:after="0" w:line="242" w:lineRule="auto"/>
        <w:jc w:val="both"/>
        <w:sectPr>
          <w:pgSz w:w="12250" w:h="15850"/>
          <w:pgMar w:header="724" w:footer="712" w:top="1880" w:bottom="900" w:left="1417" w:right="1275"/>
        </w:sectPr>
      </w:pPr>
    </w:p>
    <w:p>
      <w:pPr>
        <w:pStyle w:val="BodyText"/>
        <w:spacing w:before="67"/>
      </w:pPr>
    </w:p>
    <w:p>
      <w:pPr>
        <w:pStyle w:val="BodyText"/>
        <w:ind w:left="1"/>
      </w:pPr>
      <w:r>
        <w:rPr/>
        <w:t>número</w:t>
      </w:r>
      <w:r>
        <w:rPr>
          <w:spacing w:val="-2"/>
        </w:rPr>
        <w:t> </w:t>
      </w:r>
      <w:r>
        <w:rPr/>
        <w:t>de</w:t>
      </w:r>
      <w:r>
        <w:rPr>
          <w:spacing w:val="-2"/>
        </w:rPr>
        <w:t> </w:t>
      </w:r>
      <w:r>
        <w:rPr/>
        <w:t>habitantes</w:t>
      </w:r>
      <w:r>
        <w:rPr>
          <w:spacing w:val="-1"/>
        </w:rPr>
        <w:t> </w:t>
      </w:r>
      <w:r>
        <w:rPr/>
        <w:t>con</w:t>
      </w:r>
      <w:r>
        <w:rPr>
          <w:spacing w:val="-2"/>
        </w:rPr>
        <w:t> </w:t>
      </w:r>
      <w:r>
        <w:rPr/>
        <w:t>que</w:t>
      </w:r>
      <w:r>
        <w:rPr>
          <w:spacing w:val="-2"/>
        </w:rPr>
        <w:t> </w:t>
      </w:r>
      <w:r>
        <w:rPr/>
        <w:t>cuente</w:t>
      </w:r>
      <w:r>
        <w:rPr>
          <w:spacing w:val="-2"/>
        </w:rPr>
        <w:t> </w:t>
      </w:r>
      <w:r>
        <w:rPr/>
        <w:t>cada</w:t>
      </w:r>
      <w:r>
        <w:rPr>
          <w:spacing w:val="-2"/>
        </w:rPr>
        <w:t> </w:t>
      </w:r>
      <w:r>
        <w:rPr/>
        <w:t>Entidad</w:t>
      </w:r>
      <w:r>
        <w:rPr>
          <w:spacing w:val="-2"/>
        </w:rPr>
        <w:t> </w:t>
      </w:r>
      <w:r>
        <w:rPr/>
        <w:t>Federativa,</w:t>
      </w:r>
      <w:r>
        <w:rPr>
          <w:spacing w:val="-2"/>
        </w:rPr>
        <w:t> </w:t>
      </w:r>
      <w:r>
        <w:rPr/>
        <w:t>de</w:t>
      </w:r>
      <w:r>
        <w:rPr>
          <w:spacing w:val="-2"/>
        </w:rPr>
        <w:t> </w:t>
      </w:r>
      <w:r>
        <w:rPr/>
        <w:t>acuerdo</w:t>
      </w:r>
      <w:r>
        <w:rPr>
          <w:spacing w:val="-2"/>
        </w:rPr>
        <w:t> </w:t>
      </w:r>
      <w:r>
        <w:rPr/>
        <w:t>con</w:t>
      </w:r>
      <w:r>
        <w:rPr>
          <w:spacing w:val="-2"/>
        </w:rPr>
        <w:t> </w:t>
      </w:r>
      <w:r>
        <w:rPr/>
        <w:t>la</w:t>
      </w:r>
      <w:r>
        <w:rPr>
          <w:spacing w:val="-2"/>
        </w:rPr>
        <w:t> </w:t>
      </w:r>
      <w:r>
        <w:rPr/>
        <w:t>información</w:t>
      </w:r>
      <w:r>
        <w:rPr>
          <w:spacing w:val="-2"/>
        </w:rPr>
        <w:t> </w:t>
      </w:r>
      <w:r>
        <w:rPr/>
        <w:t>estadística más reciente que al efecto emita el Instituto Nacional de Estadística, Geografía e Informática.</w:t>
      </w:r>
    </w:p>
    <w:p>
      <w:pPr>
        <w:pStyle w:val="BodyText"/>
        <w:spacing w:before="229"/>
        <w:ind w:left="1" w:right="149" w:firstLine="288"/>
        <w:jc w:val="both"/>
      </w:pPr>
      <w:r>
        <w:rPr/>
        <w:t>Para el caso de las Demarcaciones Territoriales del Distrito Federal, su distribución se realizará conforme al inciso b) del artículo 36 antes señalado; el 75% correspondiente a cada Demarcación Territorial será asignado conforme al criterio del factor de población residente y el 25% restante al factor de población flotante de acuerdo con las cifras publicadas por el Instituto Nacional de Estadística, Geografía e Informática.</w:t>
      </w:r>
    </w:p>
    <w:p>
      <w:pPr>
        <w:pStyle w:val="BodyText"/>
      </w:pPr>
    </w:p>
    <w:p>
      <w:pPr>
        <w:pStyle w:val="BodyText"/>
        <w:ind w:left="1" w:right="147" w:firstLine="288"/>
        <w:jc w:val="both"/>
      </w:pPr>
      <w:r>
        <w:rPr/>
        <w:t>Las Entidades a su vez distribuirán los recursos que correspondan a sus Municipios y las Demarcaciones Territoriales del Distrito Federal, en proporción directa al número de habitantes con que cuente cada uno de los Municipios y Demarcaciones Territoriales antes referidos.</w:t>
      </w:r>
    </w:p>
    <w:p>
      <w:pPr>
        <w:spacing w:line="183" w:lineRule="exact" w:before="0"/>
        <w:ind w:left="41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31-12-1998,</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5"/>
        <w:rPr>
          <w:rFonts w:ascii="Times New Roman"/>
          <w:i/>
          <w:sz w:val="16"/>
        </w:rPr>
      </w:pPr>
    </w:p>
    <w:p>
      <w:pPr>
        <w:pStyle w:val="BodyText"/>
        <w:ind w:left="1" w:right="149" w:firstLine="288"/>
        <w:jc w:val="both"/>
      </w:pPr>
      <w:bookmarkStart w:name="Artículo_39" w:id="54"/>
      <w:bookmarkEnd w:id="54"/>
      <w:r>
        <w:rPr/>
      </w:r>
      <w:r>
        <w:rPr>
          <w:rFonts w:ascii="Arial" w:hAnsi="Arial"/>
          <w:b/>
        </w:rPr>
        <w:t>Artículo 39.- </w:t>
      </w:r>
      <w:r>
        <w:rPr/>
        <w:t>El Fondo de Aportaciones Múltiples se determinará anualmente en el Presupuesto de Egresos de la Federación por un monto equivalente, sólo para efectos de referencia, al 0.814% de la recaudación federal participable a que se refiere el artículo 2o. de esta Ley, según estimación que de la misma se realice en el propio presupuesto, con base a lo que al efecto establezca la Ley de Ingresos de la Federación para ese ejercicio.</w:t>
      </w:r>
    </w:p>
    <w:p>
      <w:pPr>
        <w:spacing w:before="0"/>
        <w:ind w:left="502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 w:right="145" w:firstLine="288"/>
        <w:jc w:val="both"/>
      </w:pPr>
      <w:bookmarkStart w:name="Artículo_40" w:id="55"/>
      <w:bookmarkEnd w:id="55"/>
      <w:r>
        <w:rPr/>
      </w:r>
      <w:r>
        <w:rPr>
          <w:rFonts w:ascii="Arial" w:hAnsi="Arial"/>
          <w:b/>
        </w:rPr>
        <w:t>Artículo 40.- </w:t>
      </w:r>
      <w:r>
        <w:rPr/>
        <w:t>Las aportaciones federales que con cargo al Fondo de Aportaciones Múltiples reciban</w:t>
      </w:r>
      <w:r>
        <w:rPr>
          <w:spacing w:val="40"/>
        </w:rPr>
        <w:t> </w:t>
      </w:r>
      <w:r>
        <w:rPr/>
        <w:t>los Estados de la</w:t>
      </w:r>
      <w:r>
        <w:rPr>
          <w:spacing w:val="-1"/>
        </w:rPr>
        <w:t> </w:t>
      </w:r>
      <w:r>
        <w:rPr/>
        <w:t>Federación y</w:t>
      </w:r>
      <w:r>
        <w:rPr>
          <w:spacing w:val="-3"/>
        </w:rPr>
        <w:t> </w:t>
      </w:r>
      <w:r>
        <w:rPr/>
        <w:t>el</w:t>
      </w:r>
      <w:r>
        <w:rPr>
          <w:spacing w:val="-2"/>
        </w:rPr>
        <w:t> </w:t>
      </w:r>
      <w:r>
        <w:rPr/>
        <w:t>Distrito Federal</w:t>
      </w:r>
      <w:r>
        <w:rPr>
          <w:spacing w:val="-2"/>
        </w:rPr>
        <w:t> </w:t>
      </w:r>
      <w:r>
        <w:rPr/>
        <w:t>se destinarán</w:t>
      </w:r>
      <w:r>
        <w:rPr>
          <w:spacing w:val="-1"/>
        </w:rPr>
        <w:t> </w:t>
      </w:r>
      <w:r>
        <w:rPr/>
        <w:t>en</w:t>
      </w:r>
      <w:r>
        <w:rPr>
          <w:spacing w:val="-1"/>
        </w:rPr>
        <w:t> </w:t>
      </w:r>
      <w:r>
        <w:rPr/>
        <w:t>un</w:t>
      </w:r>
      <w:r>
        <w:rPr>
          <w:spacing w:val="-1"/>
        </w:rPr>
        <w:t> </w:t>
      </w:r>
      <w:r>
        <w:rPr/>
        <w:t>46% al otorgamiento</w:t>
      </w:r>
      <w:r>
        <w:rPr>
          <w:spacing w:val="-1"/>
        </w:rPr>
        <w:t> </w:t>
      </w:r>
      <w:r>
        <w:rPr/>
        <w:t>de</w:t>
      </w:r>
      <w:r>
        <w:rPr>
          <w:spacing w:val="-1"/>
        </w:rPr>
        <w:t> </w:t>
      </w:r>
      <w:r>
        <w:rPr/>
        <w:t>desayunos escolares; apoyos alimentarios; y de asistencia social a través de instituciones públicas, con base en lo señalado en la Ley de Asistencia Social. Asimismo, se destinará el 54% restante a la construcción, equipamiento y rehabilitación de infraestructura física de los niveles de educación básica, media superior y superior en su modalidad universitaria según las necesidades de cada nivel.</w:t>
      </w:r>
    </w:p>
    <w:p>
      <w:pPr>
        <w:pStyle w:val="BodyText"/>
        <w:spacing w:before="3"/>
      </w:pPr>
    </w:p>
    <w:p>
      <w:pPr>
        <w:pStyle w:val="BodyText"/>
        <w:spacing w:before="1"/>
        <w:ind w:left="1" w:right="142" w:firstLine="288"/>
        <w:jc w:val="both"/>
      </w:pPr>
      <w:r>
        <w:rPr/>
        <w:t>Las entidades tendrán la obligación de hacer del conocimiento de sus habitantes, los montos que reciban, las obras y acciones realizadas, el costo de cada una, su ubicación y beneficiarios. Asimismo, deberán informar a sus habitantes, al término de cada ejercicio, sobre los resultados alcanzados.</w:t>
      </w:r>
    </w:p>
    <w:p>
      <w:pPr>
        <w:spacing w:line="180" w:lineRule="exact" w:before="0"/>
        <w:ind w:left="419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24-06-2009,</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 w:right="149" w:firstLine="288"/>
        <w:jc w:val="both"/>
      </w:pPr>
      <w:bookmarkStart w:name="Artículo_41" w:id="56"/>
      <w:bookmarkEnd w:id="56"/>
      <w:r>
        <w:rPr/>
      </w:r>
      <w:r>
        <w:rPr>
          <w:rFonts w:ascii="Arial" w:hAnsi="Arial"/>
          <w:b/>
        </w:rPr>
        <w:t>Artículo 41.- </w:t>
      </w:r>
      <w:r>
        <w:rPr/>
        <w:t>El Fondo de Aportaciones Múltiples se distribuirá entre las entidades federativas de acuerdo a las asignaciones y reglas que se establezcan en el Presupuesto de Egresos de la Federación.</w:t>
      </w:r>
    </w:p>
    <w:p>
      <w:pPr>
        <w:pStyle w:val="BodyText"/>
        <w:spacing w:before="1"/>
      </w:pPr>
    </w:p>
    <w:p>
      <w:pPr>
        <w:pStyle w:val="BodyText"/>
        <w:ind w:left="1" w:right="142" w:firstLine="288"/>
        <w:jc w:val="both"/>
      </w:pPr>
      <w:r>
        <w:rPr/>
        <w:t>La Secretaría de Salud y la Secretaría de Educación Pública darán a conocer, a más tardar el 31 de enero del ejercicio de que se trate en el Diario Oficial de la Federación, el monto correspondiente a cada entidad por cada uno de los componentes del Fondo y la fórmula utilizada para la distribución de los recursos, así como las variables utilizadas y la fuente de la información de las mismas, para cada uno de los componentes del Fondo.</w:t>
      </w:r>
    </w:p>
    <w:p>
      <w:pPr>
        <w:spacing w:before="0"/>
        <w:ind w:left="6967" w:right="138"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09-12-2013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w:t>
      </w:r>
      <w:r>
        <w:rPr>
          <w:rFonts w:ascii="Times New Roman" w:hAnsi="Times New Roman"/>
          <w:i/>
          <w:color w:val="0000FF"/>
          <w:spacing w:val="-4"/>
          <w:sz w:val="16"/>
        </w:rPr>
        <w:t>1997</w:t>
      </w:r>
    </w:p>
    <w:p>
      <w:pPr>
        <w:pStyle w:val="BodyText"/>
        <w:spacing w:before="44"/>
        <w:rPr>
          <w:rFonts w:ascii="Times New Roman"/>
          <w:i/>
          <w:sz w:val="16"/>
        </w:rPr>
      </w:pPr>
    </w:p>
    <w:p>
      <w:pPr>
        <w:pStyle w:val="BodyText"/>
        <w:ind w:left="1" w:right="142" w:firstLine="288"/>
        <w:jc w:val="both"/>
      </w:pPr>
      <w:bookmarkStart w:name="Artículo_42" w:id="57"/>
      <w:bookmarkEnd w:id="57"/>
      <w:r>
        <w:rPr/>
      </w:r>
      <w:r>
        <w:rPr>
          <w:rFonts w:ascii="Arial" w:hAnsi="Arial"/>
          <w:b/>
        </w:rPr>
        <w:t>Artículo 42.- </w:t>
      </w:r>
      <w:r>
        <w:rPr/>
        <w:t>Con cargo a las aportaciones del Fondo de Aportaciones para la Educación Tecnológica y de Adultos que les correspondan, los Estados y el Distrito Federal, recibirán los recursos económicos complementarios para prestar los servicios de educación tecnológica y de educación para adultos, cuya operación asuman de conformidad con los convenios de coordinación suscritos con el Ejecutivo Federal, para la transferencia de recursos humanos, materiales y financieros necesarios para la prestación de dichos servicios.</w:t>
      </w:r>
    </w:p>
    <w:p>
      <w:pPr>
        <w:spacing w:before="0"/>
        <w:ind w:left="502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1998</w:t>
      </w:r>
    </w:p>
    <w:p>
      <w:pPr>
        <w:spacing w:after="0"/>
        <w:jc w:val="left"/>
        <w:rPr>
          <w:rFonts w:ascii="Times New Roman" w:hAnsi="Times New Roman"/>
          <w:i/>
          <w:sz w:val="16"/>
        </w:rPr>
        <w:sectPr>
          <w:pgSz w:w="12250" w:h="15850"/>
          <w:pgMar w:header="724" w:footer="712" w:top="1880" w:bottom="900" w:left="1417" w:right="1275"/>
        </w:sectPr>
      </w:pPr>
    </w:p>
    <w:p>
      <w:pPr>
        <w:pStyle w:val="BodyText"/>
        <w:spacing w:before="65"/>
        <w:rPr>
          <w:rFonts w:ascii="Times New Roman"/>
          <w:i/>
        </w:rPr>
      </w:pPr>
    </w:p>
    <w:p>
      <w:pPr>
        <w:pStyle w:val="BodyText"/>
        <w:spacing w:line="242" w:lineRule="auto"/>
        <w:ind w:left="1" w:right="148" w:firstLine="288"/>
        <w:jc w:val="both"/>
      </w:pPr>
      <w:bookmarkStart w:name="Artículo_43" w:id="58"/>
      <w:bookmarkEnd w:id="58"/>
      <w:r>
        <w:rPr/>
      </w:r>
      <w:r>
        <w:rPr>
          <w:rFonts w:ascii="Arial" w:hAnsi="Arial"/>
          <w:b/>
        </w:rPr>
        <w:t>Artículo 43.- </w:t>
      </w:r>
      <w:r>
        <w:rPr/>
        <w:t>El monto del Fondo de Aportaciones para la Educación Tecnológica y de Adultos se determinará anualmente en el Presupuesto de Egresos de la Federación con recursos federales, exclusivamente a partir de los siguientes elementos:</w:t>
      </w:r>
    </w:p>
    <w:p>
      <w:pPr>
        <w:pStyle w:val="BodyText"/>
        <w:spacing w:line="242" w:lineRule="auto" w:before="222"/>
        <w:ind w:left="834" w:right="140" w:hanging="545"/>
        <w:jc w:val="both"/>
      </w:pPr>
      <w:r>
        <w:rPr>
          <w:rFonts w:ascii="Arial" w:hAnsi="Arial"/>
          <w:b/>
        </w:rPr>
        <w:t>I.-</w:t>
      </w:r>
      <w:r>
        <w:rPr>
          <w:rFonts w:ascii="Arial" w:hAnsi="Arial"/>
          <w:b/>
          <w:spacing w:val="80"/>
        </w:rPr>
        <w:t>  </w:t>
      </w:r>
      <w:r>
        <w:rPr/>
        <w:t>Los registros de planteles, de</w:t>
      </w:r>
      <w:r>
        <w:rPr>
          <w:spacing w:val="-2"/>
        </w:rPr>
        <w:t> </w:t>
      </w:r>
      <w:r>
        <w:rPr/>
        <w:t>instalaciones educativas y</w:t>
      </w:r>
      <w:r>
        <w:rPr>
          <w:spacing w:val="-4"/>
        </w:rPr>
        <w:t> </w:t>
      </w:r>
      <w:r>
        <w:rPr/>
        <w:t>de</w:t>
      </w:r>
      <w:r>
        <w:rPr>
          <w:spacing w:val="-2"/>
        </w:rPr>
        <w:t> </w:t>
      </w:r>
      <w:r>
        <w:rPr/>
        <w:t>plantillas de</w:t>
      </w:r>
      <w:r>
        <w:rPr>
          <w:spacing w:val="-2"/>
        </w:rPr>
        <w:t> </w:t>
      </w:r>
      <w:r>
        <w:rPr/>
        <w:t>personal</w:t>
      </w:r>
      <w:r>
        <w:rPr>
          <w:spacing w:val="-2"/>
        </w:rPr>
        <w:t> </w:t>
      </w:r>
      <w:r>
        <w:rPr/>
        <w:t>utilizados para los</w:t>
      </w:r>
      <w:r>
        <w:rPr>
          <w:spacing w:val="-3"/>
        </w:rPr>
        <w:t> </w:t>
      </w:r>
      <w:r>
        <w:rPr/>
        <w:t>cálculos</w:t>
      </w:r>
      <w:r>
        <w:rPr>
          <w:spacing w:val="-3"/>
        </w:rPr>
        <w:t> </w:t>
      </w:r>
      <w:r>
        <w:rPr/>
        <w:t>de</w:t>
      </w:r>
      <w:r>
        <w:rPr>
          <w:spacing w:val="-2"/>
        </w:rPr>
        <w:t> </w:t>
      </w:r>
      <w:r>
        <w:rPr/>
        <w:t>los</w:t>
      </w:r>
      <w:r>
        <w:rPr>
          <w:spacing w:val="-3"/>
        </w:rPr>
        <w:t> </w:t>
      </w:r>
      <w:r>
        <w:rPr/>
        <w:t>recursos</w:t>
      </w:r>
      <w:r>
        <w:rPr>
          <w:spacing w:val="-3"/>
        </w:rPr>
        <w:t> </w:t>
      </w:r>
      <w:r>
        <w:rPr/>
        <w:t>presupuestarios</w:t>
      </w:r>
      <w:r>
        <w:rPr>
          <w:spacing w:val="-3"/>
        </w:rPr>
        <w:t> </w:t>
      </w:r>
      <w:r>
        <w:rPr/>
        <w:t>transferidos</w:t>
      </w:r>
      <w:r>
        <w:rPr>
          <w:spacing w:val="-3"/>
        </w:rPr>
        <w:t> </w:t>
      </w:r>
      <w:r>
        <w:rPr/>
        <w:t>a</w:t>
      </w:r>
      <w:r>
        <w:rPr>
          <w:spacing w:val="-5"/>
        </w:rPr>
        <w:t> </w:t>
      </w:r>
      <w:r>
        <w:rPr/>
        <w:t>las</w:t>
      </w:r>
      <w:r>
        <w:rPr>
          <w:spacing w:val="-3"/>
        </w:rPr>
        <w:t> </w:t>
      </w:r>
      <w:r>
        <w:rPr/>
        <w:t>Entidades</w:t>
      </w:r>
      <w:r>
        <w:rPr>
          <w:spacing w:val="-3"/>
        </w:rPr>
        <w:t> </w:t>
      </w:r>
      <w:r>
        <w:rPr/>
        <w:t>Federativas</w:t>
      </w:r>
      <w:r>
        <w:rPr>
          <w:spacing w:val="-3"/>
        </w:rPr>
        <w:t> </w:t>
      </w:r>
      <w:r>
        <w:rPr/>
        <w:t>con</w:t>
      </w:r>
      <w:r>
        <w:rPr>
          <w:spacing w:val="-2"/>
        </w:rPr>
        <w:t> </w:t>
      </w:r>
      <w:r>
        <w:rPr/>
        <w:t>motivo de la suscripción de los convenios respectivos, incluyendo las erogaciones que correspondan por conceptos de impuestos federales y aportaciones de seguridad social;</w:t>
      </w:r>
    </w:p>
    <w:p>
      <w:pPr>
        <w:pStyle w:val="BodyText"/>
        <w:spacing w:line="242" w:lineRule="auto" w:before="221"/>
        <w:ind w:left="834" w:right="143" w:hanging="545"/>
        <w:jc w:val="both"/>
      </w:pPr>
      <w:r>
        <w:rPr>
          <w:rFonts w:ascii="Arial" w:hAnsi="Arial"/>
          <w:b/>
        </w:rPr>
        <w:t>II.-</w:t>
      </w:r>
      <w:r>
        <w:rPr>
          <w:rFonts w:ascii="Arial" w:hAnsi="Arial"/>
          <w:b/>
          <w:spacing w:val="80"/>
        </w:rPr>
        <w:t> </w:t>
      </w:r>
      <w:r>
        <w:rPr/>
        <w:t>Por los recursos presupuestarios que con cargo al Fondo de Aportaciones para la Educación Tecnológica y de Adultos se hayan transferido a las Entidades Federativas de acuerdo con el Presupuesto de Egresos de la Federación durante el ejercicio inmediato anterior a aquél que se presupueste, adicionándole lo siguiente:</w:t>
      </w:r>
    </w:p>
    <w:p>
      <w:pPr>
        <w:pStyle w:val="ListParagraph"/>
        <w:numPr>
          <w:ilvl w:val="0"/>
          <w:numId w:val="13"/>
        </w:numPr>
        <w:tabs>
          <w:tab w:pos="1379" w:val="left" w:leader="none"/>
        </w:tabs>
        <w:spacing w:line="242" w:lineRule="auto" w:before="221" w:after="0"/>
        <w:ind w:left="1379" w:right="137" w:hanging="545"/>
        <w:jc w:val="both"/>
        <w:rPr>
          <w:sz w:val="20"/>
        </w:rPr>
      </w:pPr>
      <w:r>
        <w:rPr>
          <w:sz w:val="20"/>
        </w:rPr>
        <w:t>Las ampliaciones presupuestarias que en el transcurso de ese mismo ejercicio se</w:t>
      </w:r>
      <w:r>
        <w:rPr>
          <w:spacing w:val="40"/>
          <w:sz w:val="20"/>
        </w:rPr>
        <w:t> </w:t>
      </w:r>
      <w:r>
        <w:rPr>
          <w:sz w:val="20"/>
        </w:rPr>
        <w:t>hubieren autorizado con cargo a las Previsiones para el Fondo de Aportaciones para la Educación Tecnológica y de Adultos, contenidas en el propio Presupuesto de Egresos de la Federación,</w:t>
      </w:r>
    </w:p>
    <w:p>
      <w:pPr>
        <w:pStyle w:val="ListParagraph"/>
        <w:numPr>
          <w:ilvl w:val="0"/>
          <w:numId w:val="13"/>
        </w:numPr>
        <w:tabs>
          <w:tab w:pos="1377" w:val="left" w:leader="none"/>
          <w:tab w:pos="1379" w:val="left" w:leader="none"/>
        </w:tabs>
        <w:spacing w:line="240" w:lineRule="auto" w:before="223" w:after="0"/>
        <w:ind w:left="1379" w:right="143" w:hanging="545"/>
        <w:jc w:val="both"/>
        <w:rPr>
          <w:sz w:val="20"/>
        </w:rPr>
      </w:pPr>
      <w:r>
        <w:rPr>
          <w:sz w:val="20"/>
        </w:rPr>
        <w:t>El importe que, en su caso, resulte de aplicar en el ejercicio que se presupueste las medidas autorizadas con cargo a las citadas Previsiones derivadas del ejercicio anterior y</w:t>
      </w:r>
    </w:p>
    <w:p>
      <w:pPr>
        <w:pStyle w:val="ListParagraph"/>
        <w:numPr>
          <w:ilvl w:val="0"/>
          <w:numId w:val="13"/>
        </w:numPr>
        <w:tabs>
          <w:tab w:pos="1379" w:val="left" w:leader="none"/>
        </w:tabs>
        <w:spacing w:line="242" w:lineRule="auto" w:before="229" w:after="0"/>
        <w:ind w:left="1379" w:right="142" w:hanging="545"/>
        <w:jc w:val="both"/>
        <w:rPr>
          <w:sz w:val="20"/>
        </w:rPr>
      </w:pPr>
      <w:r>
        <w:rPr>
          <w:sz w:val="20"/>
        </w:rPr>
        <w:t>La actualización que se determine para el ejercicio que se presupueste de los gastos de operación, distintos de los servicios personales, correspondientes a los registros de planteles y de instalaciones educativas, y</w:t>
      </w:r>
    </w:p>
    <w:p>
      <w:pPr>
        <w:pStyle w:val="BodyText"/>
        <w:spacing w:before="222"/>
        <w:ind w:left="834" w:right="144" w:hanging="545"/>
        <w:jc w:val="both"/>
      </w:pPr>
      <w:r>
        <w:rPr>
          <w:rFonts w:ascii="Arial" w:hAnsi="Arial"/>
          <w:b/>
        </w:rPr>
        <w:t>III.-</w:t>
      </w:r>
      <w:r>
        <w:rPr>
          <w:rFonts w:ascii="Arial" w:hAnsi="Arial"/>
          <w:b/>
          <w:spacing w:val="80"/>
        </w:rPr>
        <w:t> </w:t>
      </w:r>
      <w:r>
        <w:rPr/>
        <w:t>Adicionalmente, en el caso de los servicios de educación para adultos, la determinación de los recursos del Fondo de Aportaciones para la Educación Tecnológica y de Adultos y su consiguiente distribución, responderán a fórmulas que consideren las prioridades específicas y estrategias compensatorias para el abatimiento del rezago en materia de alfabetización, educación</w:t>
      </w:r>
      <w:r>
        <w:rPr>
          <w:spacing w:val="-1"/>
        </w:rPr>
        <w:t> </w:t>
      </w:r>
      <w:r>
        <w:rPr/>
        <w:t>básica y</w:t>
      </w:r>
      <w:r>
        <w:rPr>
          <w:spacing w:val="-6"/>
        </w:rPr>
        <w:t> </w:t>
      </w:r>
      <w:r>
        <w:rPr/>
        <w:t>formación</w:t>
      </w:r>
      <w:r>
        <w:rPr>
          <w:spacing w:val="-2"/>
        </w:rPr>
        <w:t> </w:t>
      </w:r>
      <w:r>
        <w:rPr/>
        <w:t>para</w:t>
      </w:r>
      <w:r>
        <w:rPr>
          <w:spacing w:val="-1"/>
        </w:rPr>
        <w:t> </w:t>
      </w:r>
      <w:r>
        <w:rPr/>
        <w:t>el</w:t>
      </w:r>
      <w:r>
        <w:rPr>
          <w:spacing w:val="-4"/>
        </w:rPr>
        <w:t> </w:t>
      </w:r>
      <w:r>
        <w:rPr/>
        <w:t>trabajo.</w:t>
      </w:r>
      <w:r>
        <w:rPr>
          <w:spacing w:val="-1"/>
        </w:rPr>
        <w:t> </w:t>
      </w:r>
      <w:r>
        <w:rPr/>
        <w:t>Las fórmulas,</w:t>
      </w:r>
      <w:r>
        <w:rPr>
          <w:spacing w:val="-1"/>
        </w:rPr>
        <w:t> </w:t>
      </w:r>
      <w:r>
        <w:rPr/>
        <w:t>así</w:t>
      </w:r>
      <w:r>
        <w:rPr>
          <w:spacing w:val="-3"/>
        </w:rPr>
        <w:t> </w:t>
      </w:r>
      <w:r>
        <w:rPr/>
        <w:t>como</w:t>
      </w:r>
      <w:r>
        <w:rPr>
          <w:spacing w:val="-3"/>
        </w:rPr>
        <w:t> </w:t>
      </w:r>
      <w:r>
        <w:rPr/>
        <w:t>las</w:t>
      </w:r>
      <w:r>
        <w:rPr>
          <w:spacing w:val="-2"/>
        </w:rPr>
        <w:t> </w:t>
      </w:r>
      <w:r>
        <w:rPr/>
        <w:t>variables</w:t>
      </w:r>
      <w:r>
        <w:rPr>
          <w:spacing w:val="-2"/>
        </w:rPr>
        <w:t> </w:t>
      </w:r>
      <w:r>
        <w:rPr/>
        <w:t>consideradas y</w:t>
      </w:r>
      <w:r>
        <w:rPr>
          <w:spacing w:val="-4"/>
        </w:rPr>
        <w:t> </w:t>
      </w:r>
      <w:r>
        <w:rPr/>
        <w:t>la</w:t>
      </w:r>
      <w:r>
        <w:rPr>
          <w:spacing w:val="-3"/>
        </w:rPr>
        <w:t> </w:t>
      </w:r>
      <w:r>
        <w:rPr/>
        <w:t>fuente</w:t>
      </w:r>
      <w:r>
        <w:rPr>
          <w:spacing w:val="-3"/>
        </w:rPr>
        <w:t> </w:t>
      </w:r>
      <w:r>
        <w:rPr/>
        <w:t>de</w:t>
      </w:r>
      <w:r>
        <w:rPr>
          <w:spacing w:val="-3"/>
        </w:rPr>
        <w:t> </w:t>
      </w:r>
      <w:r>
        <w:rPr/>
        <w:t>información</w:t>
      </w:r>
      <w:r>
        <w:rPr>
          <w:spacing w:val="-4"/>
        </w:rPr>
        <w:t> </w:t>
      </w:r>
      <w:r>
        <w:rPr/>
        <w:t>correspondiente,</w:t>
      </w:r>
      <w:r>
        <w:rPr>
          <w:spacing w:val="-1"/>
        </w:rPr>
        <w:t> </w:t>
      </w:r>
      <w:r>
        <w:rPr/>
        <w:t>a</w:t>
      </w:r>
      <w:r>
        <w:rPr>
          <w:spacing w:val="-3"/>
        </w:rPr>
        <w:t> </w:t>
      </w:r>
      <w:r>
        <w:rPr/>
        <w:t>que</w:t>
      </w:r>
      <w:r>
        <w:rPr>
          <w:spacing w:val="-4"/>
        </w:rPr>
        <w:t> </w:t>
      </w:r>
      <w:r>
        <w:rPr/>
        <w:t>se</w:t>
      </w:r>
      <w:r>
        <w:rPr>
          <w:spacing w:val="-3"/>
        </w:rPr>
        <w:t> </w:t>
      </w:r>
      <w:r>
        <w:rPr/>
        <w:t>refiere</w:t>
      </w:r>
      <w:r>
        <w:rPr>
          <w:spacing w:val="-3"/>
        </w:rPr>
        <w:t> </w:t>
      </w:r>
      <w:r>
        <w:rPr/>
        <w:t>esta</w:t>
      </w:r>
      <w:r>
        <w:rPr>
          <w:spacing w:val="-4"/>
        </w:rPr>
        <w:t> </w:t>
      </w:r>
      <w:r>
        <w:rPr/>
        <w:t>fracción</w:t>
      </w:r>
      <w:r>
        <w:rPr>
          <w:spacing w:val="-4"/>
        </w:rPr>
        <w:t> </w:t>
      </w:r>
      <w:r>
        <w:rPr/>
        <w:t>deberán</w:t>
      </w:r>
      <w:r>
        <w:rPr>
          <w:spacing w:val="-2"/>
        </w:rPr>
        <w:t> </w:t>
      </w:r>
      <w:r>
        <w:rPr/>
        <w:t>publicarse</w:t>
      </w:r>
      <w:r>
        <w:rPr>
          <w:spacing w:val="-3"/>
        </w:rPr>
        <w:t> </w:t>
      </w:r>
      <w:r>
        <w:rPr/>
        <w:t>por la Secretaría de Educación Pública, a</w:t>
      </w:r>
      <w:r>
        <w:rPr>
          <w:spacing w:val="-1"/>
        </w:rPr>
        <w:t> </w:t>
      </w:r>
      <w:r>
        <w:rPr/>
        <w:t>más tardar el 31 de enero de</w:t>
      </w:r>
      <w:r>
        <w:rPr>
          <w:spacing w:val="-2"/>
        </w:rPr>
        <w:t> </w:t>
      </w:r>
      <w:r>
        <w:rPr/>
        <w:t>cada año</w:t>
      </w:r>
      <w:r>
        <w:rPr>
          <w:spacing w:val="-1"/>
        </w:rPr>
        <w:t> </w:t>
      </w:r>
      <w:r>
        <w:rPr/>
        <w:t>en el Diario</w:t>
      </w:r>
      <w:r>
        <w:rPr>
          <w:spacing w:val="-1"/>
        </w:rPr>
        <w:t> </w:t>
      </w:r>
      <w:r>
        <w:rPr/>
        <w:t>Oficial de la Federación.</w:t>
      </w:r>
    </w:p>
    <w:p>
      <w:pPr>
        <w:spacing w:before="1"/>
        <w:ind w:left="695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before="1"/>
        <w:ind w:left="1" w:right="151" w:firstLine="288"/>
        <w:jc w:val="both"/>
      </w:pPr>
      <w:r>
        <w:rPr/>
        <w:t>La información que presenten las entidades y la Secretaría de Educación Pública, por este Fondo, deberá sujetarse al artículo 73 de la Ley General de Contabilidad Gubernamental.</w:t>
      </w:r>
    </w:p>
    <w:p>
      <w:pPr>
        <w:spacing w:before="0"/>
        <w:ind w:left="6967" w:right="0" w:firstLine="1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09-12-2013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1998</w:t>
      </w:r>
    </w:p>
    <w:p>
      <w:pPr>
        <w:pStyle w:val="BodyText"/>
        <w:spacing w:before="44"/>
        <w:rPr>
          <w:rFonts w:ascii="Times New Roman"/>
          <w:i/>
          <w:sz w:val="16"/>
        </w:rPr>
      </w:pPr>
    </w:p>
    <w:p>
      <w:pPr>
        <w:pStyle w:val="BodyText"/>
        <w:spacing w:line="242" w:lineRule="auto"/>
        <w:ind w:left="1" w:right="146" w:firstLine="288"/>
        <w:jc w:val="both"/>
      </w:pPr>
      <w:bookmarkStart w:name="Artículo_44" w:id="59"/>
      <w:bookmarkEnd w:id="59"/>
      <w:r>
        <w:rPr/>
      </w:r>
      <w:r>
        <w:rPr>
          <w:rFonts w:ascii="Arial" w:hAnsi="Arial"/>
          <w:b/>
        </w:rPr>
        <w:t>Artículo</w:t>
      </w:r>
      <w:r>
        <w:rPr>
          <w:rFonts w:ascii="Arial" w:hAnsi="Arial"/>
          <w:b/>
          <w:spacing w:val="-3"/>
        </w:rPr>
        <w:t> </w:t>
      </w:r>
      <w:r>
        <w:rPr>
          <w:rFonts w:ascii="Arial" w:hAnsi="Arial"/>
          <w:b/>
        </w:rPr>
        <w:t>44.-</w:t>
      </w:r>
      <w:r>
        <w:rPr>
          <w:rFonts w:ascii="Arial" w:hAnsi="Arial"/>
          <w:b/>
          <w:spacing w:val="-3"/>
        </w:rPr>
        <w:t> </w:t>
      </w:r>
      <w:r>
        <w:rPr/>
        <w:t>El</w:t>
      </w:r>
      <w:r>
        <w:rPr>
          <w:spacing w:val="-5"/>
        </w:rPr>
        <w:t> </w:t>
      </w:r>
      <w:r>
        <w:rPr/>
        <w:t>Fondo</w:t>
      </w:r>
      <w:r>
        <w:rPr>
          <w:spacing w:val="-2"/>
        </w:rPr>
        <w:t> </w:t>
      </w:r>
      <w:r>
        <w:rPr/>
        <w:t>de Aportaciones</w:t>
      </w:r>
      <w:r>
        <w:rPr>
          <w:spacing w:val="-3"/>
        </w:rPr>
        <w:t> </w:t>
      </w:r>
      <w:r>
        <w:rPr/>
        <w:t>para</w:t>
      </w:r>
      <w:r>
        <w:rPr>
          <w:spacing w:val="-2"/>
        </w:rPr>
        <w:t> </w:t>
      </w:r>
      <w:r>
        <w:rPr/>
        <w:t>la</w:t>
      </w:r>
      <w:r>
        <w:rPr>
          <w:spacing w:val="-4"/>
        </w:rPr>
        <w:t> </w:t>
      </w:r>
      <w:r>
        <w:rPr/>
        <w:t>Seguridad</w:t>
      </w:r>
      <w:r>
        <w:rPr>
          <w:spacing w:val="-4"/>
        </w:rPr>
        <w:t> </w:t>
      </w:r>
      <w:r>
        <w:rPr/>
        <w:t>Pública</w:t>
      </w:r>
      <w:r>
        <w:rPr>
          <w:spacing w:val="-2"/>
        </w:rPr>
        <w:t> </w:t>
      </w:r>
      <w:r>
        <w:rPr/>
        <w:t>de</w:t>
      </w:r>
      <w:r>
        <w:rPr>
          <w:spacing w:val="-3"/>
        </w:rPr>
        <w:t> </w:t>
      </w:r>
      <w:r>
        <w:rPr/>
        <w:t>los</w:t>
      </w:r>
      <w:r>
        <w:rPr>
          <w:spacing w:val="-1"/>
        </w:rPr>
        <w:t> </w:t>
      </w:r>
      <w:r>
        <w:rPr/>
        <w:t>Estados</w:t>
      </w:r>
      <w:r>
        <w:rPr>
          <w:spacing w:val="-1"/>
        </w:rPr>
        <w:t> </w:t>
      </w:r>
      <w:r>
        <w:rPr/>
        <w:t>y</w:t>
      </w:r>
      <w:r>
        <w:rPr>
          <w:spacing w:val="-6"/>
        </w:rPr>
        <w:t> </w:t>
      </w:r>
      <w:r>
        <w:rPr/>
        <w:t>del</w:t>
      </w:r>
      <w:r>
        <w:rPr>
          <w:spacing w:val="-5"/>
        </w:rPr>
        <w:t> </w:t>
      </w:r>
      <w:r>
        <w:rPr/>
        <w:t>Distrito</w:t>
      </w:r>
      <w:r>
        <w:rPr>
          <w:spacing w:val="-2"/>
        </w:rPr>
        <w:t> </w:t>
      </w:r>
      <w:r>
        <w:rPr/>
        <w:t>Federal se constituirá con cargo a recursos federales, mismos que serán determinados anualmente en el Presupuesto de Egresos de la Federación. La Secretaría de Gobernación formulará a la Secretaría de Hacienda y Crédito Público una propuesta para la integración de dicho Fondo.</w:t>
      </w:r>
    </w:p>
    <w:p>
      <w:pPr>
        <w:pStyle w:val="BodyText"/>
        <w:spacing w:before="223"/>
        <w:ind w:left="1" w:right="149" w:firstLine="288"/>
        <w:jc w:val="both"/>
      </w:pPr>
      <w:r>
        <w:rPr/>
        <w:t>En el Presupuesto de Egresos de la Federación de cada ejercicio fiscal se hará la distribución de los recursos federales que integran este Fondo entre los distintos rubros de gasto del Sistema Nacional de Seguridad Pública aprobados por el Consejo Nacional de Seguridad Pública.</w:t>
      </w:r>
    </w:p>
    <w:p>
      <w:pPr>
        <w:pStyle w:val="BodyText"/>
        <w:spacing w:before="2"/>
      </w:pPr>
    </w:p>
    <w:p>
      <w:pPr>
        <w:pStyle w:val="BodyText"/>
        <w:ind w:left="1" w:right="151" w:firstLine="288"/>
        <w:jc w:val="both"/>
      </w:pPr>
      <w:r>
        <w:rPr/>
        <w:t>El Ejecutivo Federal, a través de la Secretaría de Hacienda y Crédito Público, entregará a las entidades el Fondo de Aportaciones para la Seguridad Pública de los Estados y del Distrito Federal, con base</w:t>
      </w:r>
      <w:r>
        <w:rPr>
          <w:spacing w:val="40"/>
        </w:rPr>
        <w:t> </w:t>
      </w:r>
      <w:r>
        <w:rPr/>
        <w:t>en</w:t>
      </w:r>
      <w:r>
        <w:rPr>
          <w:spacing w:val="40"/>
        </w:rPr>
        <w:t> </w:t>
      </w:r>
      <w:r>
        <w:rPr/>
        <w:t>los</w:t>
      </w:r>
      <w:r>
        <w:rPr>
          <w:spacing w:val="40"/>
        </w:rPr>
        <w:t> </w:t>
      </w:r>
      <w:r>
        <w:rPr/>
        <w:t>criterios</w:t>
      </w:r>
      <w:r>
        <w:rPr>
          <w:spacing w:val="55"/>
        </w:rPr>
        <w:t> </w:t>
      </w:r>
      <w:r>
        <w:rPr/>
        <w:t>que</w:t>
      </w:r>
      <w:r>
        <w:rPr>
          <w:spacing w:val="40"/>
        </w:rPr>
        <w:t> </w:t>
      </w:r>
      <w:r>
        <w:rPr/>
        <w:t>el</w:t>
      </w:r>
      <w:r>
        <w:rPr>
          <w:spacing w:val="40"/>
        </w:rPr>
        <w:t> </w:t>
      </w:r>
      <w:r>
        <w:rPr/>
        <w:t>Consejo</w:t>
      </w:r>
      <w:r>
        <w:rPr>
          <w:spacing w:val="40"/>
        </w:rPr>
        <w:t> </w:t>
      </w:r>
      <w:r>
        <w:rPr/>
        <w:t>Nacional</w:t>
      </w:r>
      <w:r>
        <w:rPr>
          <w:spacing w:val="40"/>
        </w:rPr>
        <w:t> </w:t>
      </w:r>
      <w:r>
        <w:rPr/>
        <w:t>de</w:t>
      </w:r>
      <w:r>
        <w:rPr>
          <w:spacing w:val="55"/>
        </w:rPr>
        <w:t> </w:t>
      </w:r>
      <w:r>
        <w:rPr/>
        <w:t>Seguridad</w:t>
      </w:r>
      <w:r>
        <w:rPr>
          <w:spacing w:val="40"/>
        </w:rPr>
        <w:t> </w:t>
      </w:r>
      <w:r>
        <w:rPr/>
        <w:t>Pública</w:t>
      </w:r>
      <w:r>
        <w:rPr>
          <w:spacing w:val="40"/>
        </w:rPr>
        <w:t> </w:t>
      </w:r>
      <w:r>
        <w:rPr/>
        <w:t>determine,</w:t>
      </w:r>
      <w:r>
        <w:rPr>
          <w:spacing w:val="40"/>
        </w:rPr>
        <w:t> </w:t>
      </w:r>
      <w:r>
        <w:rPr/>
        <w:t>a</w:t>
      </w:r>
      <w:r>
        <w:rPr>
          <w:spacing w:val="40"/>
        </w:rPr>
        <w:t> </w:t>
      </w:r>
      <w:r>
        <w:rPr/>
        <w:t>propuesta</w:t>
      </w:r>
      <w:r>
        <w:rPr>
          <w:spacing w:val="40"/>
        </w:rPr>
        <w:t> </w:t>
      </w:r>
      <w:r>
        <w:rPr/>
        <w:t>de</w:t>
      </w:r>
      <w:r>
        <w:rPr>
          <w:spacing w:val="40"/>
        </w:rPr>
        <w:t> </w:t>
      </w:r>
      <w:r>
        <w:rPr/>
        <w:t>la</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right="144"/>
        <w:jc w:val="both"/>
      </w:pPr>
      <w:r>
        <w:rPr/>
        <w:t>Secretaría de Gobernación, por medio del Secretariado Ejecutivo del Sistema Nacional de Seguridad Pública, utilizando para la distribución de los recursos, criterios que incorporen el número de habitantes</w:t>
      </w:r>
      <w:r>
        <w:rPr>
          <w:spacing w:val="40"/>
        </w:rPr>
        <w:t> </w:t>
      </w:r>
      <w:r>
        <w:rPr/>
        <w:t>de los Estados y del Distrito Federal; el índice de ocupación penitenciaria; la implementación de programas de prevención del delito; los recursos destinados a apoyar las acciones que en materia de seguridad pública desarrollen los municipios, y el avance en la aplicación del Programa Nacional de Seguridad Pública en materia de profesionalización, equipamiento, modernización tecnológica e infraestructura. La información relacionada con las fórmulas y variables utilizadas en el cálculo para la distribución y el resultado de su aplicación que corresponderá a la asignación por cada Estado y el</w:t>
      </w:r>
      <w:r>
        <w:rPr>
          <w:spacing w:val="40"/>
        </w:rPr>
        <w:t> </w:t>
      </w:r>
      <w:r>
        <w:rPr/>
        <w:t>Distrito Federal, deberá publicarse en el Diario Oficial de la Federación a más tardar a los 30 días naturales siguientes a la publicación en dicho Diario del Presupuesto de Egresos de la Federación del ejercicio fiscal de que se trate.</w:t>
      </w:r>
    </w:p>
    <w:p>
      <w:pPr>
        <w:pStyle w:val="BodyText"/>
        <w:spacing w:before="1"/>
      </w:pPr>
    </w:p>
    <w:p>
      <w:pPr>
        <w:pStyle w:val="BodyText"/>
        <w:ind w:left="1" w:right="143" w:firstLine="288"/>
        <w:jc w:val="both"/>
      </w:pPr>
      <w:r>
        <w:rPr/>
        <w:t>Los convenios y anexos técnicos celebrados entre el Secretariado Ejecutivo del Sistema Nacional de Seguridad Pública y las entidades, deberán firmarse en un término no mayor a sesenta días, contados a partir de la publicación del resultado de la aplicación de las fórmulas y variables mencionadas con </w:t>
      </w:r>
      <w:r>
        <w:rPr>
          <w:spacing w:val="-2"/>
        </w:rPr>
        <w:t>anterioridad.</w:t>
      </w:r>
    </w:p>
    <w:p>
      <w:pPr>
        <w:pStyle w:val="BodyText"/>
      </w:pPr>
    </w:p>
    <w:p>
      <w:pPr>
        <w:pStyle w:val="BodyText"/>
        <w:ind w:left="1" w:right="144" w:firstLine="288"/>
        <w:jc w:val="both"/>
      </w:pPr>
      <w:r>
        <w:rPr/>
        <w:t>Este Fondo se enterará mensualmente por la Secretaría de Hacienda y Crédito Público durante los primeros diez meses del año a los Estados y al Distrito Federal, de manera ágil y directa sin más limitaciones ni restricciones, incluyendo aquéllas de carácter administrativo, salvo que no se cumpla lo dispuesto en este artículo.</w:t>
      </w:r>
    </w:p>
    <w:p>
      <w:pPr>
        <w:pStyle w:val="BodyText"/>
        <w:spacing w:before="230"/>
        <w:ind w:left="1" w:right="141" w:firstLine="288"/>
        <w:jc w:val="both"/>
      </w:pPr>
      <w:r>
        <w:rPr/>
        <w:t>Los Estados y el Distrito Federal reportarán trimestralmente a la Secretaría de Gobernación, a través del Secretariado Ejecutivo del Sistema Nacional de Seguridad Pública, el ejercicio de los recursos del Fondo y el avance en el cumplimiento de las metas, así como las modificaciones o adecuaciones realizadas a las asignaciones previamente establecidas en los convenios de coordinación y sus anexos técnicos en la materia; en este último caso deberán incluirse la justificación y la aprobación del Consejo Estatal de Seguridad Pública correspondiente, o la opinión favorable del Secretariado Ejecutivo del Sistema Nacional de Seguridad Pública. El Secretariado Ejecutivo del Sistema Nacional de Seguridad Pública dará respuesta en un plazo no mayor a 30 días hábiles.</w:t>
      </w:r>
    </w:p>
    <w:p>
      <w:pPr>
        <w:pStyle w:val="BodyText"/>
        <w:spacing w:before="229"/>
        <w:ind w:left="1" w:right="142" w:firstLine="288"/>
        <w:jc w:val="both"/>
      </w:pPr>
      <w:r>
        <w:rPr/>
        <w:t>Las entidades federativas, municipios y demarcaciones territoriales deberán informar a sus habitantes trimestralmente y</w:t>
      </w:r>
      <w:r>
        <w:rPr>
          <w:spacing w:val="-2"/>
        </w:rPr>
        <w:t> </w:t>
      </w:r>
      <w:r>
        <w:rPr/>
        <w:t>al término de cada ejercicio, entre otros medios, a través de la página oficial de Internet de la entidad correspondiente, los montos que reciban, el ejercicio, destino y resultados obtenidos respecto de este Fondo. Lo anterior, en términos de la Ley General de Contabilidad Gubernamental y conforme a los formatos aprobados por el Consejo Nacional de Armonización Contable.</w:t>
      </w:r>
    </w:p>
    <w:p>
      <w:pPr>
        <w:spacing w:line="181" w:lineRule="exact" w:before="0"/>
        <w:ind w:left="88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31-12-1998.</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31-12-1999,</w:t>
      </w:r>
      <w:r>
        <w:rPr>
          <w:rFonts w:ascii="Times New Roman" w:hAnsi="Times New Roman"/>
          <w:i/>
          <w:color w:val="0000FF"/>
          <w:spacing w:val="-9"/>
          <w:sz w:val="16"/>
        </w:rPr>
        <w:t> </w:t>
      </w:r>
      <w:r>
        <w:rPr>
          <w:rFonts w:ascii="Times New Roman" w:hAnsi="Times New Roman"/>
          <w:i/>
          <w:color w:val="0000FF"/>
          <w:sz w:val="16"/>
        </w:rPr>
        <w:t>26-08-2004,</w:t>
      </w:r>
      <w:r>
        <w:rPr>
          <w:rFonts w:ascii="Times New Roman" w:hAnsi="Times New Roman"/>
          <w:i/>
          <w:color w:val="0000FF"/>
          <w:spacing w:val="-9"/>
          <w:sz w:val="16"/>
        </w:rPr>
        <w:t> </w:t>
      </w:r>
      <w:r>
        <w:rPr>
          <w:rFonts w:ascii="Times New Roman" w:hAnsi="Times New Roman"/>
          <w:i/>
          <w:color w:val="0000FF"/>
          <w:sz w:val="16"/>
        </w:rPr>
        <w:t>10-02-2005,</w:t>
      </w:r>
      <w:r>
        <w:rPr>
          <w:rFonts w:ascii="Times New Roman" w:hAnsi="Times New Roman"/>
          <w:i/>
          <w:color w:val="0000FF"/>
          <w:spacing w:val="-9"/>
          <w:sz w:val="16"/>
        </w:rPr>
        <w:t> </w:t>
      </w:r>
      <w:r>
        <w:rPr>
          <w:rFonts w:ascii="Times New Roman" w:hAnsi="Times New Roman"/>
          <w:i/>
          <w:color w:val="0000FF"/>
          <w:sz w:val="16"/>
        </w:rPr>
        <w:t>27-12-2006,</w:t>
      </w:r>
      <w:r>
        <w:rPr>
          <w:rFonts w:ascii="Times New Roman" w:hAnsi="Times New Roman"/>
          <w:i/>
          <w:color w:val="0000FF"/>
          <w:spacing w:val="-9"/>
          <w:sz w:val="16"/>
        </w:rPr>
        <w:t> </w:t>
      </w:r>
      <w:r>
        <w:rPr>
          <w:rFonts w:ascii="Times New Roman" w:hAnsi="Times New Roman"/>
          <w:i/>
          <w:color w:val="0000FF"/>
          <w:sz w:val="16"/>
        </w:rPr>
        <w:t>21-12-2007,</w:t>
      </w:r>
      <w:r>
        <w:rPr>
          <w:rFonts w:ascii="Times New Roman" w:hAnsi="Times New Roman"/>
          <w:i/>
          <w:color w:val="0000FF"/>
          <w:spacing w:val="-9"/>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line="242" w:lineRule="auto"/>
        <w:ind w:left="1" w:right="143" w:firstLine="288"/>
        <w:jc w:val="both"/>
      </w:pPr>
      <w:bookmarkStart w:name="Artículo_45" w:id="60"/>
      <w:bookmarkEnd w:id="60"/>
      <w:r>
        <w:rPr/>
      </w:r>
      <w:r>
        <w:rPr>
          <w:rFonts w:ascii="Arial" w:hAnsi="Arial"/>
          <w:b/>
        </w:rPr>
        <w:t>Artículo 45.- </w:t>
      </w:r>
      <w:r>
        <w:rPr/>
        <w:t>Las aportaciones federales que, con cargo al Fondo de Aportaciones para la Seguridad Pública de los Estados y del Distrito Federal, reciban dichas entidades se destinarán exclusivamente a:</w:t>
      </w:r>
    </w:p>
    <w:p>
      <w:pPr>
        <w:pStyle w:val="ListParagraph"/>
        <w:numPr>
          <w:ilvl w:val="1"/>
          <w:numId w:val="12"/>
        </w:numPr>
        <w:tabs>
          <w:tab w:pos="1009" w:val="left" w:leader="none"/>
        </w:tabs>
        <w:spacing w:line="240" w:lineRule="auto" w:before="228" w:after="0"/>
        <w:ind w:left="1009" w:right="148" w:hanging="720"/>
        <w:jc w:val="both"/>
        <w:rPr>
          <w:sz w:val="20"/>
        </w:rPr>
      </w:pPr>
      <w:r>
        <w:rPr>
          <w:sz w:val="20"/>
        </w:rPr>
        <w:t>La profesionalización de los recursos humanos de las instituciones de seguridad pública vinculada al reclutamiento, ingreso, formación, selección, permanencia, evaluación, reconocimiento, certificación y depuración;</w:t>
      </w:r>
    </w:p>
    <w:p>
      <w:pPr>
        <w:pStyle w:val="ListParagraph"/>
        <w:numPr>
          <w:ilvl w:val="1"/>
          <w:numId w:val="12"/>
        </w:numPr>
        <w:tabs>
          <w:tab w:pos="1006" w:val="left" w:leader="none"/>
          <w:tab w:pos="1009" w:val="left" w:leader="none"/>
        </w:tabs>
        <w:spacing w:line="240" w:lineRule="auto" w:before="229" w:after="0"/>
        <w:ind w:left="1009" w:right="140" w:hanging="720"/>
        <w:jc w:val="both"/>
        <w:rPr>
          <w:sz w:val="20"/>
        </w:rPr>
      </w:pPr>
      <w:r>
        <w:rPr>
          <w:sz w:val="20"/>
        </w:rPr>
        <w:t>Al otorgamiento de percepciones extraordinarias para los agentes del Ministerio Público, los peritos, los policías ministeriales o sus equivalentes de las Procuradurías de Justicia de los Estados y del Distrito Federal, los policías de vigilancia y custodia de los centros penitenciarios; así como, de los centros de reinserción social de internamiento para </w:t>
      </w:r>
      <w:r>
        <w:rPr>
          <w:spacing w:val="-2"/>
          <w:sz w:val="20"/>
        </w:rPr>
        <w:t>adolescentes;</w:t>
      </w:r>
    </w:p>
    <w:p>
      <w:pPr>
        <w:pStyle w:val="BodyText"/>
      </w:pPr>
    </w:p>
    <w:p>
      <w:pPr>
        <w:pStyle w:val="ListParagraph"/>
        <w:numPr>
          <w:ilvl w:val="1"/>
          <w:numId w:val="12"/>
        </w:numPr>
        <w:tabs>
          <w:tab w:pos="1005" w:val="left" w:leader="none"/>
          <w:tab w:pos="1009" w:val="left" w:leader="none"/>
        </w:tabs>
        <w:spacing w:line="242" w:lineRule="auto" w:before="0" w:after="0"/>
        <w:ind w:left="1009" w:right="148" w:hanging="720"/>
        <w:jc w:val="both"/>
        <w:rPr>
          <w:sz w:val="20"/>
        </w:rPr>
      </w:pPr>
      <w:r>
        <w:rPr>
          <w:sz w:val="20"/>
        </w:rPr>
        <w:t>Al equipamiento de los elementos de las instituciones de seguridad pública correspondientes</w:t>
      </w:r>
      <w:r>
        <w:rPr>
          <w:spacing w:val="40"/>
          <w:sz w:val="20"/>
        </w:rPr>
        <w:t> </w:t>
      </w:r>
      <w:r>
        <w:rPr>
          <w:sz w:val="20"/>
        </w:rPr>
        <w:t>a</w:t>
      </w:r>
      <w:r>
        <w:rPr>
          <w:spacing w:val="22"/>
          <w:sz w:val="20"/>
        </w:rPr>
        <w:t> </w:t>
      </w:r>
      <w:r>
        <w:rPr>
          <w:sz w:val="20"/>
        </w:rPr>
        <w:t>las</w:t>
      </w:r>
      <w:r>
        <w:rPr>
          <w:spacing w:val="23"/>
          <w:sz w:val="20"/>
        </w:rPr>
        <w:t> </w:t>
      </w:r>
      <w:r>
        <w:rPr>
          <w:sz w:val="20"/>
        </w:rPr>
        <w:t>policías</w:t>
      </w:r>
      <w:r>
        <w:rPr>
          <w:spacing w:val="23"/>
          <w:sz w:val="20"/>
        </w:rPr>
        <w:t> </w:t>
      </w:r>
      <w:r>
        <w:rPr>
          <w:sz w:val="20"/>
        </w:rPr>
        <w:t>ministeriales</w:t>
      </w:r>
      <w:r>
        <w:rPr>
          <w:spacing w:val="25"/>
          <w:sz w:val="20"/>
        </w:rPr>
        <w:t> </w:t>
      </w:r>
      <w:r>
        <w:rPr>
          <w:sz w:val="20"/>
        </w:rPr>
        <w:t>o</w:t>
      </w:r>
      <w:r>
        <w:rPr>
          <w:spacing w:val="22"/>
          <w:sz w:val="20"/>
        </w:rPr>
        <w:t> </w:t>
      </w:r>
      <w:r>
        <w:rPr>
          <w:sz w:val="20"/>
        </w:rPr>
        <w:t>de</w:t>
      </w:r>
      <w:r>
        <w:rPr>
          <w:spacing w:val="22"/>
          <w:sz w:val="20"/>
        </w:rPr>
        <w:t> </w:t>
      </w:r>
      <w:r>
        <w:rPr>
          <w:sz w:val="20"/>
        </w:rPr>
        <w:t>sus</w:t>
      </w:r>
      <w:r>
        <w:rPr>
          <w:spacing w:val="25"/>
          <w:sz w:val="20"/>
        </w:rPr>
        <w:t> </w:t>
      </w:r>
      <w:r>
        <w:rPr>
          <w:sz w:val="20"/>
        </w:rPr>
        <w:t>equivalentes,</w:t>
      </w:r>
      <w:r>
        <w:rPr>
          <w:spacing w:val="24"/>
          <w:sz w:val="20"/>
        </w:rPr>
        <w:t> </w:t>
      </w:r>
      <w:r>
        <w:rPr>
          <w:sz w:val="20"/>
        </w:rPr>
        <w:t>peritos,</w:t>
      </w:r>
      <w:r>
        <w:rPr>
          <w:spacing w:val="22"/>
          <w:sz w:val="20"/>
        </w:rPr>
        <w:t> </w:t>
      </w:r>
      <w:r>
        <w:rPr>
          <w:sz w:val="20"/>
        </w:rPr>
        <w:t>ministerios</w:t>
      </w:r>
      <w:r>
        <w:rPr>
          <w:spacing w:val="23"/>
          <w:sz w:val="20"/>
        </w:rPr>
        <w:t> </w:t>
      </w:r>
      <w:r>
        <w:rPr>
          <w:sz w:val="20"/>
        </w:rPr>
        <w:t>públicos</w:t>
      </w:r>
      <w:r>
        <w:rPr>
          <w:spacing w:val="27"/>
          <w:sz w:val="20"/>
        </w:rPr>
        <w:t> </w:t>
      </w:r>
      <w:r>
        <w:rPr>
          <w:sz w:val="20"/>
        </w:rPr>
        <w:t>y</w:t>
      </w:r>
      <w:r>
        <w:rPr>
          <w:spacing w:val="21"/>
          <w:sz w:val="20"/>
        </w:rPr>
        <w:t> </w:t>
      </w:r>
      <w:r>
        <w:rPr>
          <w:sz w:val="20"/>
        </w:rPr>
        <w:t>policías</w:t>
      </w:r>
      <w:r>
        <w:rPr>
          <w:spacing w:val="25"/>
          <w:sz w:val="20"/>
        </w:rPr>
        <w:t> </w:t>
      </w:r>
      <w:r>
        <w:rPr>
          <w:sz w:val="20"/>
        </w:rPr>
        <w:t>de</w:t>
      </w:r>
    </w:p>
    <w:p>
      <w:pPr>
        <w:pStyle w:val="ListParagraph"/>
        <w:spacing w:after="0" w:line="242" w:lineRule="auto"/>
        <w:jc w:val="both"/>
        <w:rPr>
          <w:sz w:val="20"/>
        </w:rPr>
        <w:sectPr>
          <w:pgSz w:w="12250" w:h="15850"/>
          <w:pgMar w:header="724" w:footer="712" w:top="1880" w:bottom="900" w:left="1417" w:right="1275"/>
        </w:sectPr>
      </w:pPr>
    </w:p>
    <w:p>
      <w:pPr>
        <w:pStyle w:val="BodyText"/>
        <w:spacing w:before="67"/>
      </w:pPr>
    </w:p>
    <w:p>
      <w:pPr>
        <w:pStyle w:val="BodyText"/>
        <w:ind w:left="1009"/>
      </w:pPr>
      <w:r>
        <w:rPr/>
        <w:t>vigilancia</w:t>
      </w:r>
      <w:r>
        <w:rPr>
          <w:spacing w:val="33"/>
        </w:rPr>
        <w:t> </w:t>
      </w:r>
      <w:r>
        <w:rPr/>
        <w:t>y</w:t>
      </w:r>
      <w:r>
        <w:rPr>
          <w:spacing w:val="25"/>
        </w:rPr>
        <w:t> </w:t>
      </w:r>
      <w:r>
        <w:rPr/>
        <w:t>custodia</w:t>
      </w:r>
      <w:r>
        <w:rPr>
          <w:spacing w:val="31"/>
        </w:rPr>
        <w:t> </w:t>
      </w:r>
      <w:r>
        <w:rPr/>
        <w:t>de</w:t>
      </w:r>
      <w:r>
        <w:rPr>
          <w:spacing w:val="31"/>
        </w:rPr>
        <w:t> </w:t>
      </w:r>
      <w:r>
        <w:rPr/>
        <w:t>los</w:t>
      </w:r>
      <w:r>
        <w:rPr>
          <w:spacing w:val="30"/>
        </w:rPr>
        <w:t> </w:t>
      </w:r>
      <w:r>
        <w:rPr/>
        <w:t>centros</w:t>
      </w:r>
      <w:r>
        <w:rPr>
          <w:spacing w:val="30"/>
        </w:rPr>
        <w:t> </w:t>
      </w:r>
      <w:r>
        <w:rPr/>
        <w:t>penitenciarios,</w:t>
      </w:r>
      <w:r>
        <w:rPr>
          <w:spacing w:val="29"/>
        </w:rPr>
        <w:t> </w:t>
      </w:r>
      <w:r>
        <w:rPr/>
        <w:t>así</w:t>
      </w:r>
      <w:r>
        <w:rPr>
          <w:spacing w:val="29"/>
        </w:rPr>
        <w:t> </w:t>
      </w:r>
      <w:r>
        <w:rPr/>
        <w:t>como,</w:t>
      </w:r>
      <w:r>
        <w:rPr>
          <w:spacing w:val="28"/>
        </w:rPr>
        <w:t> </w:t>
      </w:r>
      <w:r>
        <w:rPr/>
        <w:t>de</w:t>
      </w:r>
      <w:r>
        <w:rPr>
          <w:spacing w:val="31"/>
        </w:rPr>
        <w:t> </w:t>
      </w:r>
      <w:r>
        <w:rPr/>
        <w:t>los</w:t>
      </w:r>
      <w:r>
        <w:rPr>
          <w:spacing w:val="30"/>
        </w:rPr>
        <w:t> </w:t>
      </w:r>
      <w:r>
        <w:rPr/>
        <w:t>centros</w:t>
      </w:r>
      <w:r>
        <w:rPr>
          <w:spacing w:val="32"/>
        </w:rPr>
        <w:t> </w:t>
      </w:r>
      <w:r>
        <w:rPr/>
        <w:t>de</w:t>
      </w:r>
      <w:r>
        <w:rPr>
          <w:spacing w:val="29"/>
        </w:rPr>
        <w:t> </w:t>
      </w:r>
      <w:r>
        <w:rPr/>
        <w:t>reinserción social de internamiento para adolescentes;</w:t>
      </w:r>
    </w:p>
    <w:p>
      <w:pPr>
        <w:pStyle w:val="ListParagraph"/>
        <w:numPr>
          <w:ilvl w:val="1"/>
          <w:numId w:val="12"/>
        </w:numPr>
        <w:tabs>
          <w:tab w:pos="1009" w:val="left" w:leader="none"/>
        </w:tabs>
        <w:spacing w:line="242" w:lineRule="auto" w:before="227" w:after="0"/>
        <w:ind w:left="1009" w:right="150" w:hanging="720"/>
        <w:jc w:val="both"/>
        <w:rPr>
          <w:sz w:val="20"/>
        </w:rPr>
      </w:pPr>
      <w:r>
        <w:rPr>
          <w:sz w:val="20"/>
        </w:rPr>
        <w:t>Al establecimiento y operación de las bases de datos criminalísticos y de personal, la compatibilidad de los servicios de telecomunicaciones de las redes locales, el servicio telefónico nacional de emergencia y el servicio de denuncia anónima;</w:t>
      </w:r>
    </w:p>
    <w:p>
      <w:pPr>
        <w:pStyle w:val="ListParagraph"/>
        <w:numPr>
          <w:ilvl w:val="1"/>
          <w:numId w:val="12"/>
        </w:numPr>
        <w:tabs>
          <w:tab w:pos="1007" w:val="left" w:leader="none"/>
          <w:tab w:pos="1009" w:val="left" w:leader="none"/>
        </w:tabs>
        <w:spacing w:line="240" w:lineRule="auto" w:before="225" w:after="0"/>
        <w:ind w:left="1009" w:right="145" w:hanging="720"/>
        <w:jc w:val="both"/>
        <w:rPr>
          <w:sz w:val="20"/>
        </w:rPr>
      </w:pPr>
      <w:r>
        <w:rPr>
          <w:sz w:val="20"/>
        </w:rPr>
        <w:t>A la construcción, mejoramiento, ampliación o adquisición de las instalaciones para la procuración e impartición de justicia, de los centros penitenciarios, de los centros de reinserción social de internamiento para adolescentes que realizaron una conducta tipificada como delito, así como de las instalaciones de los cuerpos de seguridad pública de las academias o institutos encargados de aplicar los programas rectores de profesionalización y de los Centros de Evaluación y Control de Confianza, y</w:t>
      </w:r>
    </w:p>
    <w:p>
      <w:pPr>
        <w:pStyle w:val="ListParagraph"/>
        <w:numPr>
          <w:ilvl w:val="1"/>
          <w:numId w:val="12"/>
        </w:numPr>
        <w:tabs>
          <w:tab w:pos="1009" w:val="left" w:leader="none"/>
        </w:tabs>
        <w:spacing w:line="240" w:lineRule="auto" w:before="228" w:after="0"/>
        <w:ind w:left="1009" w:right="0" w:hanging="720"/>
        <w:jc w:val="left"/>
        <w:rPr>
          <w:sz w:val="20"/>
        </w:rPr>
      </w:pPr>
      <w:r>
        <w:rPr>
          <w:sz w:val="20"/>
        </w:rPr>
        <w:t>Al</w:t>
      </w:r>
      <w:r>
        <w:rPr>
          <w:spacing w:val="-9"/>
          <w:sz w:val="20"/>
        </w:rPr>
        <w:t> </w:t>
      </w:r>
      <w:r>
        <w:rPr>
          <w:sz w:val="20"/>
        </w:rPr>
        <w:t>seguimiento</w:t>
      </w:r>
      <w:r>
        <w:rPr>
          <w:spacing w:val="-6"/>
          <w:sz w:val="20"/>
        </w:rPr>
        <w:t> </w:t>
      </w:r>
      <w:r>
        <w:rPr>
          <w:sz w:val="20"/>
        </w:rPr>
        <w:t>y</w:t>
      </w:r>
      <w:r>
        <w:rPr>
          <w:spacing w:val="-9"/>
          <w:sz w:val="20"/>
        </w:rPr>
        <w:t> </w:t>
      </w:r>
      <w:r>
        <w:rPr>
          <w:sz w:val="20"/>
        </w:rPr>
        <w:t>evaluación</w:t>
      </w:r>
      <w:r>
        <w:rPr>
          <w:spacing w:val="-7"/>
          <w:sz w:val="20"/>
        </w:rPr>
        <w:t> </w:t>
      </w:r>
      <w:r>
        <w:rPr>
          <w:sz w:val="20"/>
        </w:rPr>
        <w:t>de</w:t>
      </w:r>
      <w:r>
        <w:rPr>
          <w:spacing w:val="-6"/>
          <w:sz w:val="20"/>
        </w:rPr>
        <w:t> </w:t>
      </w:r>
      <w:r>
        <w:rPr>
          <w:sz w:val="20"/>
        </w:rPr>
        <w:t>los</w:t>
      </w:r>
      <w:r>
        <w:rPr>
          <w:spacing w:val="-7"/>
          <w:sz w:val="20"/>
        </w:rPr>
        <w:t> </w:t>
      </w:r>
      <w:r>
        <w:rPr>
          <w:sz w:val="20"/>
        </w:rPr>
        <w:t>programas</w:t>
      </w:r>
      <w:r>
        <w:rPr>
          <w:spacing w:val="-7"/>
          <w:sz w:val="20"/>
        </w:rPr>
        <w:t> </w:t>
      </w:r>
      <w:r>
        <w:rPr>
          <w:sz w:val="20"/>
        </w:rPr>
        <w:t>relacionados</w:t>
      </w:r>
      <w:r>
        <w:rPr>
          <w:spacing w:val="-7"/>
          <w:sz w:val="20"/>
        </w:rPr>
        <w:t> </w:t>
      </w:r>
      <w:r>
        <w:rPr>
          <w:sz w:val="20"/>
        </w:rPr>
        <w:t>con</w:t>
      </w:r>
      <w:r>
        <w:rPr>
          <w:spacing w:val="-8"/>
          <w:sz w:val="20"/>
        </w:rPr>
        <w:t> </w:t>
      </w:r>
      <w:r>
        <w:rPr>
          <w:sz w:val="20"/>
        </w:rPr>
        <w:t>las</w:t>
      </w:r>
      <w:r>
        <w:rPr>
          <w:spacing w:val="-6"/>
          <w:sz w:val="20"/>
        </w:rPr>
        <w:t> </w:t>
      </w:r>
      <w:r>
        <w:rPr>
          <w:sz w:val="20"/>
        </w:rPr>
        <w:t>fracciones</w:t>
      </w:r>
      <w:r>
        <w:rPr>
          <w:spacing w:val="-7"/>
          <w:sz w:val="20"/>
        </w:rPr>
        <w:t> </w:t>
      </w:r>
      <w:r>
        <w:rPr>
          <w:spacing w:val="-2"/>
          <w:sz w:val="20"/>
        </w:rPr>
        <w:t>anteriores.</w:t>
      </w:r>
    </w:p>
    <w:p>
      <w:pPr>
        <w:pStyle w:val="BodyText"/>
        <w:spacing w:before="3"/>
      </w:pPr>
    </w:p>
    <w:p>
      <w:pPr>
        <w:pStyle w:val="BodyText"/>
        <w:spacing w:before="1"/>
        <w:ind w:left="1" w:right="141" w:firstLine="288"/>
        <w:jc w:val="both"/>
      </w:pPr>
      <w:r>
        <w:rPr/>
        <w:t>Los recursos para el otorgamiento de percepciones extraordinarias para los agentes del Ministerio Público, los policías ministeriales o sus equivalentes, los policías de vigilancia y custodia y los peritos de las procuradurías de</w:t>
      </w:r>
      <w:r>
        <w:rPr>
          <w:spacing w:val="-2"/>
        </w:rPr>
        <w:t> </w:t>
      </w:r>
      <w:r>
        <w:rPr/>
        <w:t>justicia</w:t>
      </w:r>
      <w:r>
        <w:rPr>
          <w:spacing w:val="-1"/>
        </w:rPr>
        <w:t> </w:t>
      </w:r>
      <w:r>
        <w:rPr/>
        <w:t>de</w:t>
      </w:r>
      <w:r>
        <w:rPr>
          <w:spacing w:val="-2"/>
        </w:rPr>
        <w:t> </w:t>
      </w:r>
      <w:r>
        <w:rPr/>
        <w:t>los Estados y</w:t>
      </w:r>
      <w:r>
        <w:rPr>
          <w:spacing w:val="-2"/>
        </w:rPr>
        <w:t> </w:t>
      </w:r>
      <w:r>
        <w:rPr/>
        <w:t>del</w:t>
      </w:r>
      <w:r>
        <w:rPr>
          <w:spacing w:val="-2"/>
        </w:rPr>
        <w:t> </w:t>
      </w:r>
      <w:r>
        <w:rPr/>
        <w:t>Distrito</w:t>
      </w:r>
      <w:r>
        <w:rPr>
          <w:spacing w:val="-1"/>
        </w:rPr>
        <w:t> </w:t>
      </w:r>
      <w:r>
        <w:rPr/>
        <w:t>Federal,</w:t>
      </w:r>
      <w:r>
        <w:rPr>
          <w:spacing w:val="-1"/>
        </w:rPr>
        <w:t> </w:t>
      </w:r>
      <w:r>
        <w:rPr/>
        <w:t>tendrán</w:t>
      </w:r>
      <w:r>
        <w:rPr>
          <w:spacing w:val="-2"/>
        </w:rPr>
        <w:t> </w:t>
      </w:r>
      <w:r>
        <w:rPr/>
        <w:t>el</w:t>
      </w:r>
      <w:r>
        <w:rPr>
          <w:spacing w:val="-2"/>
        </w:rPr>
        <w:t> </w:t>
      </w:r>
      <w:r>
        <w:rPr/>
        <w:t>carácter de</w:t>
      </w:r>
      <w:r>
        <w:rPr>
          <w:spacing w:val="-2"/>
        </w:rPr>
        <w:t> </w:t>
      </w:r>
      <w:r>
        <w:rPr/>
        <w:t>no</w:t>
      </w:r>
      <w:r>
        <w:rPr>
          <w:spacing w:val="-2"/>
        </w:rPr>
        <w:t> </w:t>
      </w:r>
      <w:r>
        <w:rPr/>
        <w:t>regularizables para los presupuestos de egresos de la Federación de los ejercicios subsecuentes y las responsabilidades laborales que deriven de tales recursos estarán a cargo de los gobiernos de los Estados y del Distrito Federal.</w:t>
      </w:r>
    </w:p>
    <w:p>
      <w:pPr>
        <w:pStyle w:val="BodyText"/>
      </w:pPr>
    </w:p>
    <w:p>
      <w:pPr>
        <w:pStyle w:val="BodyText"/>
        <w:ind w:left="1" w:right="149" w:firstLine="288"/>
        <w:jc w:val="both"/>
      </w:pPr>
      <w:r>
        <w:rPr/>
        <w:t>Dichos recursos deberán aplicarse conforme a la Ley General del Sistema Nacional de Seguridad Pública y los acuerdos aprobados por el Consejo Nacional de Seguridad Pública.</w:t>
      </w:r>
    </w:p>
    <w:p>
      <w:pPr>
        <w:pStyle w:val="BodyText"/>
        <w:spacing w:before="229"/>
        <w:ind w:left="1" w:right="142" w:firstLine="288"/>
        <w:jc w:val="both"/>
      </w:pPr>
      <w:r>
        <w:rPr/>
        <w:t>Los Estados y el Distrito Federal proporcionarán al Ejecutivo Federal, por conducto del Secretariado Ejecutivo del Sistema Nacional de Seguridad Pública, la información financiera, operativa y estadística que les sea requerida.</w:t>
      </w:r>
    </w:p>
    <w:p>
      <w:pPr>
        <w:spacing w:line="183" w:lineRule="exact" w:before="0"/>
        <w:ind w:left="336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31-12-1999,</w:t>
      </w:r>
      <w:r>
        <w:rPr>
          <w:rFonts w:ascii="Times New Roman" w:hAnsi="Times New Roman"/>
          <w:i/>
          <w:color w:val="0000FF"/>
          <w:spacing w:val="-9"/>
          <w:sz w:val="16"/>
        </w:rPr>
        <w:t> </w:t>
      </w:r>
      <w:r>
        <w:rPr>
          <w:rFonts w:ascii="Times New Roman" w:hAnsi="Times New Roman"/>
          <w:i/>
          <w:color w:val="0000FF"/>
          <w:sz w:val="16"/>
        </w:rPr>
        <w:t>27-12-2006,</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5"/>
        <w:rPr>
          <w:rFonts w:ascii="Times New Roman"/>
          <w:i/>
          <w:sz w:val="16"/>
        </w:rPr>
      </w:pPr>
    </w:p>
    <w:p>
      <w:pPr>
        <w:pStyle w:val="BodyText"/>
        <w:spacing w:line="242" w:lineRule="auto"/>
        <w:ind w:left="1" w:right="149" w:firstLine="288"/>
        <w:jc w:val="both"/>
      </w:pPr>
      <w:bookmarkStart w:name="Artículo_46" w:id="61"/>
      <w:bookmarkEnd w:id="61"/>
      <w:r>
        <w:rPr/>
      </w:r>
      <w:r>
        <w:rPr>
          <w:rFonts w:ascii="Arial" w:hAnsi="Arial"/>
          <w:b/>
        </w:rPr>
        <w:t>Artículo 46. </w:t>
      </w:r>
      <w:r>
        <w:rPr/>
        <w:t>El Fondo de Aportaciones para el Fortalecimiento de las Entidades Federativas se determinará anualmente en el Presupuesto de Egresos de la Federación correspondiente con recursos federales por un monto equivalente al 1.40 por ciento de la recaudación federal participable a que se refiere el artículo 2o. de esta Ley.</w:t>
      </w:r>
    </w:p>
    <w:p>
      <w:pPr>
        <w:pStyle w:val="BodyText"/>
        <w:spacing w:before="223"/>
        <w:ind w:left="1" w:right="145" w:firstLine="288"/>
        <w:jc w:val="both"/>
      </w:pPr>
      <w:r>
        <w:rPr/>
        <w:t>Los montos del fondo a que se refiere este artículo se enterarán mensualmente por la Secretaría de Hacienda y</w:t>
      </w:r>
      <w:r>
        <w:rPr>
          <w:spacing w:val="-1"/>
        </w:rPr>
        <w:t> </w:t>
      </w:r>
      <w:r>
        <w:rPr/>
        <w:t>Crédito Público a los Estados y</w:t>
      </w:r>
      <w:r>
        <w:rPr>
          <w:spacing w:val="-1"/>
        </w:rPr>
        <w:t> </w:t>
      </w:r>
      <w:r>
        <w:rPr/>
        <w:t>al Distrito Federal de manera ágil y</w:t>
      </w:r>
      <w:r>
        <w:rPr>
          <w:spacing w:val="-1"/>
        </w:rPr>
        <w:t> </w:t>
      </w:r>
      <w:r>
        <w:rPr/>
        <w:t>directa, de acuerdo con la fórmula siguiente:</w:t>
      </w:r>
    </w:p>
    <w:p>
      <w:pPr>
        <w:pStyle w:val="BodyText"/>
        <w:spacing w:before="41"/>
        <w:rPr>
          <w:sz w:val="17"/>
        </w:rPr>
      </w:pPr>
    </w:p>
    <w:p>
      <w:pPr>
        <w:spacing w:before="1"/>
        <w:ind w:left="736" w:right="0" w:firstLine="0"/>
        <w:jc w:val="left"/>
        <w:rPr>
          <w:rFonts w:ascii="Times New Roman" w:hAnsi="Times New Roman"/>
          <w:i/>
          <w:sz w:val="17"/>
        </w:rPr>
      </w:pPr>
      <w:r>
        <w:rPr>
          <w:rFonts w:ascii="Times New Roman" w:hAnsi="Times New Roman"/>
          <w:i/>
          <w:position w:val="7"/>
          <w:sz w:val="29"/>
        </w:rPr>
        <w:t>T</w:t>
      </w:r>
      <w:r>
        <w:rPr>
          <w:rFonts w:ascii="Times New Roman" w:hAnsi="Times New Roman"/>
          <w:i/>
          <w:sz w:val="17"/>
        </w:rPr>
        <w:t>i</w:t>
      </w:r>
      <w:r>
        <w:rPr>
          <w:rFonts w:ascii="Times New Roman" w:hAnsi="Times New Roman"/>
          <w:sz w:val="17"/>
        </w:rPr>
        <w:t>,</w:t>
      </w:r>
      <w:r>
        <w:rPr>
          <w:rFonts w:ascii="Times New Roman" w:hAnsi="Times New Roman"/>
          <w:i/>
          <w:sz w:val="17"/>
        </w:rPr>
        <w:t>t</w:t>
      </w:r>
      <w:r>
        <w:rPr>
          <w:rFonts w:ascii="Times New Roman" w:hAnsi="Times New Roman"/>
          <w:i/>
          <w:spacing w:val="65"/>
          <w:sz w:val="17"/>
        </w:rPr>
        <w:t> </w:t>
      </w:r>
      <w:r>
        <w:rPr>
          <w:rFonts w:ascii="Symbol" w:hAnsi="Symbol"/>
          <w:position w:val="7"/>
          <w:sz w:val="29"/>
        </w:rPr>
        <w:t></w:t>
      </w:r>
      <w:r>
        <w:rPr>
          <w:rFonts w:ascii="Times New Roman" w:hAnsi="Times New Roman"/>
          <w:spacing w:val="-19"/>
          <w:position w:val="7"/>
          <w:sz w:val="29"/>
        </w:rPr>
        <w:t> </w:t>
      </w:r>
      <w:r>
        <w:rPr>
          <w:rFonts w:ascii="Times New Roman" w:hAnsi="Times New Roman"/>
          <w:i/>
          <w:position w:val="7"/>
          <w:sz w:val="29"/>
        </w:rPr>
        <w:t>T</w:t>
      </w:r>
      <w:r>
        <w:rPr>
          <w:rFonts w:ascii="Times New Roman" w:hAnsi="Times New Roman"/>
          <w:i/>
          <w:sz w:val="17"/>
        </w:rPr>
        <w:t>i</w:t>
      </w:r>
      <w:r>
        <w:rPr>
          <w:rFonts w:ascii="Times New Roman" w:hAnsi="Times New Roman"/>
          <w:sz w:val="17"/>
        </w:rPr>
        <w:t>,07</w:t>
      </w:r>
      <w:r>
        <w:rPr>
          <w:rFonts w:ascii="Times New Roman" w:hAnsi="Times New Roman"/>
          <w:spacing w:val="38"/>
          <w:sz w:val="17"/>
        </w:rPr>
        <w:t>  </w:t>
      </w:r>
      <w:r>
        <w:rPr>
          <w:rFonts w:ascii="Symbol" w:hAnsi="Symbol"/>
          <w:position w:val="7"/>
          <w:sz w:val="29"/>
        </w:rPr>
        <w:t></w:t>
      </w:r>
      <w:r>
        <w:rPr>
          <w:rFonts w:ascii="Times New Roman" w:hAnsi="Times New Roman"/>
          <w:spacing w:val="-10"/>
          <w:position w:val="7"/>
          <w:sz w:val="29"/>
        </w:rPr>
        <w:t> </w:t>
      </w:r>
      <w:r>
        <w:rPr>
          <w:rFonts w:ascii="Symbol" w:hAnsi="Symbol"/>
          <w:spacing w:val="-2"/>
          <w:position w:val="7"/>
          <w:sz w:val="29"/>
        </w:rPr>
        <w:t></w:t>
      </w:r>
      <w:r>
        <w:rPr>
          <w:rFonts w:ascii="Times New Roman" w:hAnsi="Times New Roman"/>
          <w:i/>
          <w:spacing w:val="-2"/>
          <w:position w:val="7"/>
          <w:sz w:val="29"/>
        </w:rPr>
        <w:t>FAFEF</w:t>
      </w:r>
      <w:r>
        <w:rPr>
          <w:rFonts w:ascii="Times New Roman" w:hAnsi="Times New Roman"/>
          <w:spacing w:val="-2"/>
          <w:sz w:val="17"/>
        </w:rPr>
        <w:t>07,</w:t>
      </w:r>
      <w:r>
        <w:rPr>
          <w:rFonts w:ascii="Times New Roman" w:hAnsi="Times New Roman"/>
          <w:i/>
          <w:spacing w:val="-2"/>
          <w:sz w:val="17"/>
        </w:rPr>
        <w:t>t</w:t>
      </w:r>
      <w:r>
        <w:rPr>
          <w:rFonts w:ascii="Times New Roman" w:hAnsi="Times New Roman"/>
          <w:i/>
          <w:spacing w:val="-2"/>
          <w:position w:val="7"/>
          <w:sz w:val="29"/>
        </w:rPr>
        <w:t>C</w:t>
      </w:r>
      <w:r>
        <w:rPr>
          <w:rFonts w:ascii="Times New Roman" w:hAnsi="Times New Roman"/>
          <w:i/>
          <w:spacing w:val="-2"/>
          <w:sz w:val="17"/>
        </w:rPr>
        <w:t>i</w:t>
      </w:r>
      <w:r>
        <w:rPr>
          <w:rFonts w:ascii="Times New Roman" w:hAnsi="Times New Roman"/>
          <w:spacing w:val="-2"/>
          <w:sz w:val="17"/>
        </w:rPr>
        <w:t>,</w:t>
      </w:r>
      <w:r>
        <w:rPr>
          <w:rFonts w:ascii="Times New Roman" w:hAnsi="Times New Roman"/>
          <w:i/>
          <w:spacing w:val="-2"/>
          <w:sz w:val="17"/>
        </w:rPr>
        <w:t>t</w:t>
      </w:r>
    </w:p>
    <w:p>
      <w:pPr>
        <w:pStyle w:val="BodyText"/>
        <w:spacing w:before="113"/>
        <w:rPr>
          <w:rFonts w:ascii="Times New Roman"/>
          <w:i/>
          <w:sz w:val="25"/>
        </w:rPr>
      </w:pPr>
    </w:p>
    <w:p>
      <w:pPr>
        <w:tabs>
          <w:tab w:pos="1924" w:val="left" w:leader="none"/>
          <w:tab w:pos="2373" w:val="left" w:leader="none"/>
        </w:tabs>
        <w:spacing w:line="242" w:lineRule="exact" w:before="1"/>
        <w:ind w:left="1511" w:right="0" w:firstLine="0"/>
        <w:jc w:val="left"/>
        <w:rPr>
          <w:rFonts w:ascii="Times New Roman" w:hAnsi="Times New Roman"/>
          <w:i/>
          <w:position w:val="-15"/>
          <w:sz w:val="25"/>
        </w:rPr>
      </w:pPr>
      <w:r>
        <w:rPr>
          <w:rFonts w:ascii="Symbol" w:hAnsi="Symbol"/>
          <w:spacing w:val="-10"/>
          <w:position w:val="2"/>
          <w:sz w:val="25"/>
        </w:rPr>
        <w:t></w:t>
      </w:r>
      <w:r>
        <w:rPr>
          <w:rFonts w:ascii="Times New Roman" w:hAnsi="Times New Roman"/>
          <w:position w:val="2"/>
          <w:sz w:val="25"/>
        </w:rPr>
        <w:tab/>
      </w:r>
      <w:r>
        <w:rPr>
          <w:rFonts w:ascii="Times New Roman" w:hAnsi="Times New Roman"/>
          <w:spacing w:val="-10"/>
          <w:sz w:val="25"/>
        </w:rPr>
        <w:t>1</w:t>
      </w:r>
      <w:r>
        <w:rPr>
          <w:rFonts w:ascii="Times New Roman" w:hAnsi="Times New Roman"/>
          <w:sz w:val="25"/>
        </w:rPr>
        <w:tab/>
      </w:r>
      <w:r>
        <w:rPr>
          <w:rFonts w:ascii="Symbol" w:hAnsi="Symbol"/>
          <w:position w:val="2"/>
          <w:sz w:val="25"/>
        </w:rPr>
        <w:t></w:t>
      </w:r>
      <w:r>
        <w:rPr>
          <w:rFonts w:ascii="Times New Roman" w:hAnsi="Times New Roman"/>
          <w:spacing w:val="54"/>
          <w:position w:val="2"/>
          <w:sz w:val="25"/>
        </w:rPr>
        <w:t> </w:t>
      </w:r>
      <w:r>
        <w:rPr>
          <w:rFonts w:ascii="Times New Roman" w:hAnsi="Times New Roman"/>
          <w:i/>
          <w:spacing w:val="-12"/>
          <w:position w:val="-15"/>
          <w:sz w:val="25"/>
        </w:rPr>
        <w:t>n</w:t>
      </w:r>
    </w:p>
    <w:p>
      <w:pPr>
        <w:tabs>
          <w:tab w:pos="2711" w:val="left" w:leader="none"/>
        </w:tabs>
        <w:spacing w:line="194" w:lineRule="exact" w:before="0"/>
        <w:ind w:left="1511" w:right="0" w:firstLine="0"/>
        <w:jc w:val="left"/>
        <w:rPr>
          <w:rFonts w:ascii="Times New Roman" w:hAnsi="Times New Roman"/>
          <w:i/>
          <w:position w:val="13"/>
          <w:sz w:val="14"/>
        </w:rPr>
      </w:pPr>
      <w:r>
        <w:rPr>
          <w:rFonts w:ascii="Times New Roman" w:hAnsi="Times New Roman"/>
          <w:i/>
          <w:position w:val="13"/>
          <w:sz w:val="14"/>
        </w:rPr>
        <mc:AlternateContent>
          <mc:Choice Requires="wps">
            <w:drawing>
              <wp:anchor distT="0" distB="0" distL="0" distR="0" allowOverlap="1" layoutInCell="1" locked="0" behindDoc="1" simplePos="0" relativeHeight="486331904">
                <wp:simplePos x="0" y="0"/>
                <wp:positionH relativeFrom="page">
                  <wp:posOffset>1932279</wp:posOffset>
                </wp:positionH>
                <wp:positionV relativeFrom="paragraph">
                  <wp:posOffset>82852</wp:posOffset>
                </wp:positionV>
                <wp:extent cx="469900" cy="12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469900" cy="1270"/>
                        </a:xfrm>
                        <a:custGeom>
                          <a:avLst/>
                          <a:gdLst/>
                          <a:ahLst/>
                          <a:cxnLst/>
                          <a:rect l="l" t="t" r="r" b="b"/>
                          <a:pathLst>
                            <a:path w="469900" h="0">
                              <a:moveTo>
                                <a:pt x="0" y="0"/>
                              </a:moveTo>
                              <a:lnTo>
                                <a:pt x="469408" y="0"/>
                              </a:lnTo>
                            </a:path>
                          </a:pathLst>
                        </a:custGeom>
                        <a:ln w="18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984576" from="152.14801pt,6.523795pt" to="189.109333pt,6.523795pt" stroked="true" strokeweight=".145630pt" strokecolor="#000000">
                <v:stroke dashstyle="solid"/>
                <w10:wrap type="none"/>
              </v:line>
            </w:pict>
          </mc:Fallback>
        </mc:AlternateContent>
      </w:r>
      <w:r>
        <w:rPr>
          <w:rFonts w:ascii="Symbol" w:hAnsi="Symbol"/>
          <w:position w:val="13"/>
          <w:sz w:val="25"/>
        </w:rPr>
        <w:t></w:t>
      </w:r>
      <w:r>
        <w:rPr>
          <w:rFonts w:ascii="Times New Roman" w:hAnsi="Times New Roman"/>
          <w:spacing w:val="-28"/>
          <w:position w:val="13"/>
          <w:sz w:val="25"/>
        </w:rPr>
        <w:t> </w:t>
      </w:r>
      <w:r>
        <w:rPr>
          <w:rFonts w:ascii="Times New Roman" w:hAnsi="Times New Roman"/>
          <w:i/>
          <w:sz w:val="25"/>
        </w:rPr>
        <w:t>PIBpc</w:t>
      </w:r>
      <w:r>
        <w:rPr>
          <w:rFonts w:ascii="Times New Roman" w:hAnsi="Times New Roman"/>
          <w:i/>
          <w:spacing w:val="36"/>
          <w:sz w:val="25"/>
        </w:rPr>
        <w:t> </w:t>
      </w:r>
      <w:r>
        <w:rPr>
          <w:rFonts w:ascii="Symbol" w:hAnsi="Symbol"/>
          <w:spacing w:val="-10"/>
          <w:position w:val="13"/>
          <w:sz w:val="25"/>
        </w:rPr>
        <w:t></w:t>
      </w:r>
      <w:r>
        <w:rPr>
          <w:rFonts w:ascii="Times New Roman" w:hAnsi="Times New Roman"/>
          <w:position w:val="13"/>
          <w:sz w:val="25"/>
        </w:rPr>
        <w:tab/>
      </w:r>
      <w:r>
        <w:rPr>
          <w:rFonts w:ascii="Times New Roman" w:hAnsi="Times New Roman"/>
          <w:i/>
          <w:spacing w:val="-10"/>
          <w:position w:val="13"/>
          <w:sz w:val="14"/>
        </w:rPr>
        <w:t>i</w:t>
      </w:r>
    </w:p>
    <w:p>
      <w:pPr>
        <w:tabs>
          <w:tab w:pos="2273" w:val="left" w:leader="none"/>
          <w:tab w:pos="2954" w:val="left" w:leader="none"/>
        </w:tabs>
        <w:spacing w:line="122" w:lineRule="auto" w:before="48"/>
        <w:ind w:left="740" w:right="0" w:firstLine="0"/>
        <w:jc w:val="left"/>
        <w:rPr>
          <w:rFonts w:ascii="Times New Roman" w:hAnsi="Times New Roman"/>
          <w:sz w:val="25"/>
        </w:rPr>
      </w:pPr>
      <w:r>
        <w:rPr>
          <w:rFonts w:ascii="Times New Roman" w:hAnsi="Times New Roman"/>
          <w:i/>
          <w:w w:val="105"/>
          <w:position w:val="-10"/>
          <w:sz w:val="25"/>
        </w:rPr>
        <w:t>C</w:t>
      </w:r>
      <w:r>
        <w:rPr>
          <w:rFonts w:ascii="Times New Roman" w:hAnsi="Times New Roman"/>
          <w:i/>
          <w:w w:val="105"/>
          <w:position w:val="-17"/>
          <w:sz w:val="14"/>
        </w:rPr>
        <w:t>i</w:t>
      </w:r>
      <w:r>
        <w:rPr>
          <w:rFonts w:ascii="Times New Roman" w:hAnsi="Times New Roman"/>
          <w:w w:val="105"/>
          <w:position w:val="-17"/>
          <w:sz w:val="14"/>
        </w:rPr>
        <w:t>,</w:t>
      </w:r>
      <w:r>
        <w:rPr>
          <w:rFonts w:ascii="Times New Roman" w:hAnsi="Times New Roman"/>
          <w:i/>
          <w:w w:val="105"/>
          <w:position w:val="-17"/>
          <w:sz w:val="14"/>
        </w:rPr>
        <w:t>t</w:t>
      </w:r>
      <w:r>
        <w:rPr>
          <w:rFonts w:ascii="Times New Roman" w:hAnsi="Times New Roman"/>
          <w:i/>
          <w:spacing w:val="56"/>
          <w:w w:val="105"/>
          <w:position w:val="-17"/>
          <w:sz w:val="14"/>
        </w:rPr>
        <w:t> </w:t>
      </w:r>
      <w:r>
        <w:rPr>
          <w:rFonts w:ascii="Symbol" w:hAnsi="Symbol"/>
          <w:w w:val="105"/>
          <w:position w:val="-10"/>
          <w:sz w:val="25"/>
        </w:rPr>
        <w:t></w:t>
      </w:r>
      <w:r>
        <w:rPr>
          <w:rFonts w:ascii="Times New Roman" w:hAnsi="Times New Roman"/>
          <w:spacing w:val="3"/>
          <w:w w:val="105"/>
          <w:position w:val="-10"/>
          <w:sz w:val="25"/>
        </w:rPr>
        <w:t> </w:t>
      </w:r>
      <w:r>
        <w:rPr>
          <w:rFonts w:ascii="Times New Roman" w:hAnsi="Times New Roman"/>
          <w:spacing w:val="70"/>
          <w:w w:val="150"/>
          <w:sz w:val="25"/>
          <w:u w:val="single"/>
        </w:rPr>
        <w:t> </w:t>
      </w:r>
      <w:r>
        <w:rPr>
          <w:rFonts w:ascii="Symbol" w:hAnsi="Symbol"/>
          <w:spacing w:val="-10"/>
          <w:w w:val="105"/>
          <w:sz w:val="25"/>
          <w:u w:val="single"/>
        </w:rPr>
        <w:t></w:t>
      </w:r>
      <w:r>
        <w:rPr>
          <w:rFonts w:ascii="Times New Roman" w:hAnsi="Times New Roman"/>
          <w:sz w:val="25"/>
          <w:u w:val="single"/>
        </w:rPr>
        <w:tab/>
      </w:r>
      <w:r>
        <w:rPr>
          <w:rFonts w:ascii="Times New Roman" w:hAnsi="Times New Roman"/>
          <w:i/>
          <w:w w:val="105"/>
          <w:sz w:val="14"/>
          <w:u w:val="single"/>
        </w:rPr>
        <w:t>i</w:t>
      </w:r>
      <w:r>
        <w:rPr>
          <w:rFonts w:ascii="Times New Roman" w:hAnsi="Times New Roman"/>
          <w:i/>
          <w:spacing w:val="22"/>
          <w:w w:val="105"/>
          <w:sz w:val="14"/>
          <w:u w:val="single"/>
        </w:rPr>
        <w:t> </w:t>
      </w:r>
      <w:r>
        <w:rPr>
          <w:rFonts w:ascii="Symbol" w:hAnsi="Symbol"/>
          <w:spacing w:val="-10"/>
          <w:w w:val="105"/>
          <w:sz w:val="25"/>
          <w:u w:val="single"/>
        </w:rPr>
        <w:t></w:t>
      </w:r>
      <w:r>
        <w:rPr>
          <w:rFonts w:ascii="Times New Roman" w:hAnsi="Times New Roman"/>
          <w:sz w:val="25"/>
          <w:u w:val="single"/>
        </w:rPr>
        <w:tab/>
      </w:r>
    </w:p>
    <w:p>
      <w:pPr>
        <w:tabs>
          <w:tab w:pos="2075" w:val="left" w:leader="none"/>
          <w:tab w:pos="2525" w:val="left" w:leader="none"/>
        </w:tabs>
        <w:spacing w:line="242" w:lineRule="exact" w:before="0"/>
        <w:ind w:left="1352" w:right="0" w:firstLine="0"/>
        <w:jc w:val="left"/>
        <w:rPr>
          <w:rFonts w:ascii="Times New Roman" w:hAnsi="Times New Roman"/>
          <w:i/>
          <w:position w:val="-15"/>
          <w:sz w:val="25"/>
        </w:rPr>
      </w:pPr>
      <w:r>
        <w:rPr>
          <w:rFonts w:ascii="Symbol" w:hAnsi="Symbol"/>
          <w:spacing w:val="14"/>
          <w:position w:val="-20"/>
          <w:sz w:val="38"/>
        </w:rPr>
        <w:t></w:t>
      </w:r>
      <w:r>
        <w:rPr>
          <w:rFonts w:ascii="Symbol" w:hAnsi="Symbol"/>
          <w:spacing w:val="14"/>
          <w:position w:val="2"/>
          <w:sz w:val="25"/>
        </w:rPr>
        <w:t></w:t>
      </w:r>
      <w:r>
        <w:rPr>
          <w:rFonts w:ascii="Times New Roman" w:hAnsi="Times New Roman"/>
          <w:position w:val="2"/>
          <w:sz w:val="25"/>
        </w:rPr>
        <w:tab/>
      </w:r>
      <w:r>
        <w:rPr>
          <w:rFonts w:ascii="Times New Roman" w:hAnsi="Times New Roman"/>
          <w:spacing w:val="-10"/>
          <w:sz w:val="25"/>
        </w:rPr>
        <w:t>1</w:t>
      </w:r>
      <w:r>
        <w:rPr>
          <w:rFonts w:ascii="Times New Roman" w:hAnsi="Times New Roman"/>
          <w:sz w:val="25"/>
        </w:rPr>
        <w:tab/>
      </w:r>
      <w:r>
        <w:rPr>
          <w:rFonts w:ascii="Symbol" w:hAnsi="Symbol"/>
          <w:position w:val="2"/>
          <w:sz w:val="25"/>
        </w:rPr>
        <w:t></w:t>
      </w:r>
      <w:r>
        <w:rPr>
          <w:rFonts w:ascii="Times New Roman" w:hAnsi="Times New Roman"/>
          <w:spacing w:val="55"/>
          <w:position w:val="2"/>
          <w:sz w:val="25"/>
        </w:rPr>
        <w:t> </w:t>
      </w:r>
      <w:r>
        <w:rPr>
          <w:rFonts w:ascii="Times New Roman" w:hAnsi="Times New Roman"/>
          <w:i/>
          <w:spacing w:val="-10"/>
          <w:position w:val="-15"/>
          <w:sz w:val="25"/>
        </w:rPr>
        <w:t>n</w:t>
      </w:r>
    </w:p>
    <w:p>
      <w:pPr>
        <w:tabs>
          <w:tab w:pos="2863" w:val="left" w:leader="none"/>
        </w:tabs>
        <w:spacing w:before="0"/>
        <w:ind w:left="1662" w:right="0" w:firstLine="0"/>
        <w:jc w:val="left"/>
        <w:rPr>
          <w:rFonts w:ascii="Times New Roman" w:hAnsi="Times New Roman"/>
          <w:i/>
          <w:position w:val="13"/>
          <w:sz w:val="14"/>
        </w:rPr>
      </w:pPr>
      <w:r>
        <w:rPr>
          <w:rFonts w:ascii="Times New Roman" w:hAnsi="Times New Roman"/>
          <w:i/>
          <w:position w:val="13"/>
          <w:sz w:val="14"/>
        </w:rPr>
        <mc:AlternateContent>
          <mc:Choice Requires="wps">
            <w:drawing>
              <wp:anchor distT="0" distB="0" distL="0" distR="0" allowOverlap="1" layoutInCell="1" locked="0" behindDoc="1" simplePos="0" relativeHeight="486332416">
                <wp:simplePos x="0" y="0"/>
                <wp:positionH relativeFrom="page">
                  <wp:posOffset>2028679</wp:posOffset>
                </wp:positionH>
                <wp:positionV relativeFrom="paragraph">
                  <wp:posOffset>82884</wp:posOffset>
                </wp:positionV>
                <wp:extent cx="469265" cy="127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469265" cy="1270"/>
                        </a:xfrm>
                        <a:custGeom>
                          <a:avLst/>
                          <a:gdLst/>
                          <a:ahLst/>
                          <a:cxnLst/>
                          <a:rect l="l" t="t" r="r" b="b"/>
                          <a:pathLst>
                            <a:path w="469265" h="0">
                              <a:moveTo>
                                <a:pt x="0" y="0"/>
                              </a:moveTo>
                              <a:lnTo>
                                <a:pt x="469088" y="0"/>
                              </a:lnTo>
                            </a:path>
                          </a:pathLst>
                        </a:custGeom>
                        <a:ln w="18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984064" from="159.738525pt,6.526372pt" to="196.67462pt,6.526372pt" stroked="true" strokeweight=".145630pt" strokecolor="#000000">
                <v:stroke dashstyle="solid"/>
                <w10:wrap type="none"/>
              </v:line>
            </w:pict>
          </mc:Fallback>
        </mc:AlternateContent>
      </w:r>
      <w:r>
        <w:rPr>
          <w:rFonts w:ascii="Times New Roman" w:hAnsi="Times New Roman"/>
          <w:i/>
          <w:position w:val="13"/>
          <w:sz w:val="14"/>
        </w:rPr>
        <mc:AlternateContent>
          <mc:Choice Requires="wps">
            <w:drawing>
              <wp:anchor distT="0" distB="0" distL="0" distR="0" allowOverlap="1" layoutInCell="1" locked="0" behindDoc="1" simplePos="0" relativeHeight="486332928">
                <wp:simplePos x="0" y="0"/>
                <wp:positionH relativeFrom="page">
                  <wp:posOffset>1955735</wp:posOffset>
                </wp:positionH>
                <wp:positionV relativeFrom="paragraph">
                  <wp:posOffset>123361</wp:posOffset>
                </wp:positionV>
                <wp:extent cx="62230" cy="19621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62230" cy="196215"/>
                        </a:xfrm>
                        <a:prstGeom prst="rect">
                          <a:avLst/>
                        </a:prstGeom>
                      </wps:spPr>
                      <wps:txbx>
                        <w:txbxContent>
                          <w:p>
                            <w:pPr>
                              <w:spacing w:before="2"/>
                              <w:ind w:left="0" w:right="0" w:firstLine="0"/>
                              <w:jc w:val="left"/>
                              <w:rPr>
                                <w:rFonts w:ascii="Symbol" w:hAnsi="Symbol"/>
                                <w:sz w:val="25"/>
                              </w:rPr>
                            </w:pPr>
                            <w:r>
                              <w:rPr>
                                <w:rFonts w:ascii="Symbol" w:hAnsi="Symbol"/>
                                <w:spacing w:val="-10"/>
                                <w:sz w:val="25"/>
                              </w:rPr>
                              <w:t></w:t>
                            </w:r>
                          </w:p>
                        </w:txbxContent>
                      </wps:txbx>
                      <wps:bodyPr wrap="square" lIns="0" tIns="0" rIns="0" bIns="0" rtlCol="0">
                        <a:noAutofit/>
                      </wps:bodyPr>
                    </wps:wsp>
                  </a:graphicData>
                </a:graphic>
              </wp:anchor>
            </w:drawing>
          </mc:Choice>
          <mc:Fallback>
            <w:pict>
              <v:shape style="position:absolute;margin-left:153.994934pt;margin-top:9.713503pt;width:4.9pt;height:15.45pt;mso-position-horizontal-relative:page;mso-position-vertical-relative:paragraph;z-index:-16983552" type="#_x0000_t202" id="docshape19" filled="false" stroked="false">
                <v:textbox inset="0,0,0,0">
                  <w:txbxContent>
                    <w:p>
                      <w:pPr>
                        <w:spacing w:before="2"/>
                        <w:ind w:left="0" w:right="0" w:firstLine="0"/>
                        <w:jc w:val="left"/>
                        <w:rPr>
                          <w:rFonts w:ascii="Symbol" w:hAnsi="Symbol"/>
                          <w:sz w:val="25"/>
                        </w:rPr>
                      </w:pPr>
                      <w:r>
                        <w:rPr>
                          <w:rFonts w:ascii="Symbol" w:hAnsi="Symbol"/>
                          <w:spacing w:val="-10"/>
                          <w:sz w:val="25"/>
                        </w:rPr>
                        <w:t></w:t>
                      </w:r>
                    </w:p>
                  </w:txbxContent>
                </v:textbox>
                <w10:wrap type="none"/>
              </v:shape>
            </w:pict>
          </mc:Fallback>
        </mc:AlternateContent>
      </w:r>
      <w:r>
        <w:rPr>
          <w:rFonts w:ascii="Times New Roman" w:hAnsi="Times New Roman"/>
          <w:i/>
          <w:position w:val="13"/>
          <w:sz w:val="14"/>
        </w:rPr>
        <mc:AlternateContent>
          <mc:Choice Requires="wps">
            <w:drawing>
              <wp:anchor distT="0" distB="0" distL="0" distR="0" allowOverlap="1" layoutInCell="1" locked="0" behindDoc="0" simplePos="0" relativeHeight="15746048">
                <wp:simplePos x="0" y="0"/>
                <wp:positionH relativeFrom="page">
                  <wp:posOffset>1829245</wp:posOffset>
                </wp:positionH>
                <wp:positionV relativeFrom="paragraph">
                  <wp:posOffset>187843</wp:posOffset>
                </wp:positionV>
                <wp:extent cx="26670" cy="104139"/>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26670" cy="104139"/>
                        </a:xfrm>
                        <a:prstGeom prst="rect">
                          <a:avLst/>
                        </a:prstGeom>
                      </wps:spPr>
                      <wps:txbx>
                        <w:txbxContent>
                          <w:p>
                            <w:pPr>
                              <w:spacing w:before="0"/>
                              <w:ind w:left="0" w:right="0" w:firstLine="0"/>
                              <w:jc w:val="left"/>
                              <w:rPr>
                                <w:rFonts w:ascii="Times New Roman"/>
                                <w:i/>
                                <w:sz w:val="14"/>
                              </w:rPr>
                            </w:pPr>
                            <w:r>
                              <w:rPr>
                                <w:rFonts w:ascii="Times New Roman"/>
                                <w:i/>
                                <w:spacing w:val="-10"/>
                                <w:w w:val="105"/>
                                <w:sz w:val="14"/>
                              </w:rPr>
                              <w:t>i</w:t>
                            </w:r>
                          </w:p>
                        </w:txbxContent>
                      </wps:txbx>
                      <wps:bodyPr wrap="square" lIns="0" tIns="0" rIns="0" bIns="0" rtlCol="0">
                        <a:noAutofit/>
                      </wps:bodyPr>
                    </wps:wsp>
                  </a:graphicData>
                </a:graphic>
              </wp:anchor>
            </w:drawing>
          </mc:Choice>
          <mc:Fallback>
            <w:pict>
              <v:shape style="position:absolute;margin-left:144.035065pt;margin-top:14.79084pt;width:2.1pt;height:8.2pt;mso-position-horizontal-relative:page;mso-position-vertical-relative:paragraph;z-index:15746048" type="#_x0000_t202" id="docshape20" filled="false" stroked="false">
                <v:textbox inset="0,0,0,0">
                  <w:txbxContent>
                    <w:p>
                      <w:pPr>
                        <w:spacing w:before="0"/>
                        <w:ind w:left="0" w:right="0" w:firstLine="0"/>
                        <w:jc w:val="left"/>
                        <w:rPr>
                          <w:rFonts w:ascii="Times New Roman"/>
                          <w:i/>
                          <w:sz w:val="14"/>
                        </w:rPr>
                      </w:pPr>
                      <w:r>
                        <w:rPr>
                          <w:rFonts w:ascii="Times New Roman"/>
                          <w:i/>
                          <w:spacing w:val="-10"/>
                          <w:w w:val="105"/>
                          <w:sz w:val="14"/>
                        </w:rPr>
                        <w:t>i</w:t>
                      </w:r>
                    </w:p>
                  </w:txbxContent>
                </v:textbox>
                <w10:wrap type="none"/>
              </v:shape>
            </w:pict>
          </mc:Fallback>
        </mc:AlternateContent>
      </w:r>
      <w:r>
        <w:rPr>
          <w:rFonts w:ascii="Times New Roman" w:hAnsi="Times New Roman"/>
          <w:i/>
          <w:position w:val="13"/>
          <w:sz w:val="14"/>
        </w:rPr>
        <mc:AlternateContent>
          <mc:Choice Requires="wps">
            <w:drawing>
              <wp:anchor distT="0" distB="0" distL="0" distR="0" allowOverlap="1" layoutInCell="1" locked="0" behindDoc="1" simplePos="0" relativeHeight="486333952">
                <wp:simplePos x="0" y="0"/>
                <wp:positionH relativeFrom="page">
                  <wp:posOffset>2440016</wp:posOffset>
                </wp:positionH>
                <wp:positionV relativeFrom="paragraph">
                  <wp:posOffset>123361</wp:posOffset>
                </wp:positionV>
                <wp:extent cx="125730" cy="19621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25730" cy="196215"/>
                        </a:xfrm>
                        <a:prstGeom prst="rect">
                          <a:avLst/>
                        </a:prstGeom>
                      </wps:spPr>
                      <wps:txbx>
                        <w:txbxContent>
                          <w:p>
                            <w:pPr>
                              <w:spacing w:before="2"/>
                              <w:ind w:left="0" w:right="0" w:firstLine="0"/>
                              <w:jc w:val="left"/>
                              <w:rPr>
                                <w:rFonts w:ascii="Symbol" w:hAnsi="Symbol"/>
                                <w:sz w:val="25"/>
                              </w:rPr>
                            </w:pPr>
                            <w:r>
                              <w:rPr>
                                <w:rFonts w:ascii="Times New Roman" w:hAnsi="Times New Roman"/>
                                <w:i/>
                                <w:w w:val="105"/>
                                <w:sz w:val="14"/>
                              </w:rPr>
                              <w:t>i</w:t>
                            </w:r>
                            <w:r>
                              <w:rPr>
                                <w:rFonts w:ascii="Times New Roman" w:hAnsi="Times New Roman"/>
                                <w:i/>
                                <w:spacing w:val="21"/>
                                <w:w w:val="105"/>
                                <w:sz w:val="14"/>
                              </w:rPr>
                              <w:t> </w:t>
                            </w:r>
                            <w:r>
                              <w:rPr>
                                <w:rFonts w:ascii="Symbol" w:hAnsi="Symbol"/>
                                <w:spacing w:val="-13"/>
                                <w:w w:val="105"/>
                                <w:sz w:val="25"/>
                              </w:rPr>
                              <w:t></w:t>
                            </w:r>
                          </w:p>
                        </w:txbxContent>
                      </wps:txbx>
                      <wps:bodyPr wrap="square" lIns="0" tIns="0" rIns="0" bIns="0" rtlCol="0">
                        <a:noAutofit/>
                      </wps:bodyPr>
                    </wps:wsp>
                  </a:graphicData>
                </a:graphic>
              </wp:anchor>
            </w:drawing>
          </mc:Choice>
          <mc:Fallback>
            <w:pict>
              <v:shape style="position:absolute;margin-left:192.127258pt;margin-top:9.713503pt;width:9.9pt;height:15.45pt;mso-position-horizontal-relative:page;mso-position-vertical-relative:paragraph;z-index:-16982528" type="#_x0000_t202" id="docshape21" filled="false" stroked="false">
                <v:textbox inset="0,0,0,0">
                  <w:txbxContent>
                    <w:p>
                      <w:pPr>
                        <w:spacing w:before="2"/>
                        <w:ind w:left="0" w:right="0" w:firstLine="0"/>
                        <w:jc w:val="left"/>
                        <w:rPr>
                          <w:rFonts w:ascii="Symbol" w:hAnsi="Symbol"/>
                          <w:sz w:val="25"/>
                        </w:rPr>
                      </w:pPr>
                      <w:r>
                        <w:rPr>
                          <w:rFonts w:ascii="Times New Roman" w:hAnsi="Times New Roman"/>
                          <w:i/>
                          <w:w w:val="105"/>
                          <w:sz w:val="14"/>
                        </w:rPr>
                        <w:t>i</w:t>
                      </w:r>
                      <w:r>
                        <w:rPr>
                          <w:rFonts w:ascii="Times New Roman" w:hAnsi="Times New Roman"/>
                          <w:i/>
                          <w:spacing w:val="21"/>
                          <w:w w:val="105"/>
                          <w:sz w:val="14"/>
                        </w:rPr>
                        <w:t> </w:t>
                      </w:r>
                      <w:r>
                        <w:rPr>
                          <w:rFonts w:ascii="Symbol" w:hAnsi="Symbol"/>
                          <w:spacing w:val="-13"/>
                          <w:w w:val="105"/>
                          <w:sz w:val="25"/>
                        </w:rPr>
                        <w:t></w:t>
                      </w:r>
                    </w:p>
                  </w:txbxContent>
                </v:textbox>
                <w10:wrap type="none"/>
              </v:shape>
            </w:pict>
          </mc:Fallback>
        </mc:AlternateContent>
      </w:r>
      <w:r>
        <w:rPr>
          <w:rFonts w:ascii="Symbol" w:hAnsi="Symbol"/>
          <w:position w:val="13"/>
          <w:sz w:val="25"/>
        </w:rPr>
        <w:t></w:t>
      </w:r>
      <w:r>
        <w:rPr>
          <w:rFonts w:ascii="Times New Roman" w:hAnsi="Times New Roman"/>
          <w:spacing w:val="-28"/>
          <w:position w:val="13"/>
          <w:sz w:val="25"/>
        </w:rPr>
        <w:t> </w:t>
      </w:r>
      <w:r>
        <w:rPr>
          <w:rFonts w:ascii="Times New Roman" w:hAnsi="Times New Roman"/>
          <w:i/>
          <w:sz w:val="25"/>
        </w:rPr>
        <w:t>PIBpc</w:t>
      </w:r>
      <w:r>
        <w:rPr>
          <w:rFonts w:ascii="Times New Roman" w:hAnsi="Times New Roman"/>
          <w:i/>
          <w:spacing w:val="36"/>
          <w:sz w:val="25"/>
        </w:rPr>
        <w:t> </w:t>
      </w:r>
      <w:r>
        <w:rPr>
          <w:rFonts w:ascii="Symbol" w:hAnsi="Symbol"/>
          <w:spacing w:val="-10"/>
          <w:position w:val="13"/>
          <w:sz w:val="25"/>
        </w:rPr>
        <w:t></w:t>
      </w:r>
      <w:r>
        <w:rPr>
          <w:rFonts w:ascii="Times New Roman" w:hAnsi="Times New Roman"/>
          <w:position w:val="13"/>
          <w:sz w:val="25"/>
        </w:rPr>
        <w:tab/>
      </w:r>
      <w:r>
        <w:rPr>
          <w:rFonts w:ascii="Times New Roman" w:hAnsi="Times New Roman"/>
          <w:i/>
          <w:spacing w:val="-10"/>
          <w:position w:val="13"/>
          <w:sz w:val="14"/>
        </w:rPr>
        <w:t>i</w:t>
      </w:r>
    </w:p>
    <w:p>
      <w:pPr>
        <w:pStyle w:val="BodyText"/>
        <w:spacing w:before="82"/>
        <w:rPr>
          <w:rFonts w:ascii="Times New Roman"/>
          <w:i/>
        </w:rPr>
      </w:pPr>
    </w:p>
    <w:p>
      <w:pPr>
        <w:pStyle w:val="BodyText"/>
        <w:ind w:left="709"/>
      </w:pPr>
      <w:r>
        <w:rPr>
          <w:spacing w:val="-2"/>
        </w:rPr>
        <w:t>Donde:</w:t>
      </w:r>
    </w:p>
    <w:p>
      <w:pPr>
        <w:pStyle w:val="BodyText"/>
        <w:spacing w:after="0"/>
        <w:sectPr>
          <w:pgSz w:w="12250" w:h="15850"/>
          <w:pgMar w:header="724" w:footer="712" w:top="1880" w:bottom="900" w:left="1417" w:right="1275"/>
        </w:sectPr>
      </w:pPr>
    </w:p>
    <w:p>
      <w:pPr>
        <w:pStyle w:val="BodyText"/>
        <w:spacing w:before="65"/>
      </w:pPr>
    </w:p>
    <w:p>
      <w:pPr>
        <w:pStyle w:val="BodyText"/>
        <w:ind w:left="709"/>
      </w:pPr>
      <w:r>
        <w:rPr/>
        <w:t>C</w:t>
      </w:r>
      <w:r>
        <w:rPr>
          <w:position w:val="-3"/>
        </w:rPr>
        <w:t>i,t</w:t>
      </w:r>
      <w:r>
        <w:rPr>
          <w:spacing w:val="30"/>
          <w:position w:val="-3"/>
        </w:rPr>
        <w:t> </w:t>
      </w:r>
      <w:r>
        <w:rPr/>
        <w:t>es</w:t>
      </w:r>
      <w:r>
        <w:rPr>
          <w:spacing w:val="28"/>
        </w:rPr>
        <w:t> </w:t>
      </w:r>
      <w:r>
        <w:rPr/>
        <w:t>el</w:t>
      </w:r>
      <w:r>
        <w:rPr>
          <w:spacing w:val="26"/>
        </w:rPr>
        <w:t> </w:t>
      </w:r>
      <w:r>
        <w:rPr/>
        <w:t>coeficiente</w:t>
      </w:r>
      <w:r>
        <w:rPr>
          <w:spacing w:val="27"/>
        </w:rPr>
        <w:t> </w:t>
      </w:r>
      <w:r>
        <w:rPr/>
        <w:t>de</w:t>
      </w:r>
      <w:r>
        <w:rPr>
          <w:spacing w:val="30"/>
        </w:rPr>
        <w:t> </w:t>
      </w:r>
      <w:r>
        <w:rPr/>
        <w:t>distribución</w:t>
      </w:r>
      <w:r>
        <w:rPr>
          <w:spacing w:val="27"/>
        </w:rPr>
        <w:t> </w:t>
      </w:r>
      <w:r>
        <w:rPr/>
        <w:t>del</w:t>
      </w:r>
      <w:r>
        <w:rPr>
          <w:spacing w:val="26"/>
        </w:rPr>
        <w:t> </w:t>
      </w:r>
      <w:r>
        <w:rPr/>
        <w:t>Fondo</w:t>
      </w:r>
      <w:r>
        <w:rPr>
          <w:spacing w:val="27"/>
        </w:rPr>
        <w:t> </w:t>
      </w:r>
      <w:r>
        <w:rPr/>
        <w:t>de</w:t>
      </w:r>
      <w:r>
        <w:rPr>
          <w:spacing w:val="29"/>
        </w:rPr>
        <w:t> </w:t>
      </w:r>
      <w:r>
        <w:rPr/>
        <w:t>Aportaciones</w:t>
      </w:r>
      <w:r>
        <w:rPr>
          <w:spacing w:val="29"/>
        </w:rPr>
        <w:t> </w:t>
      </w:r>
      <w:r>
        <w:rPr/>
        <w:t>para</w:t>
      </w:r>
      <w:r>
        <w:rPr>
          <w:spacing w:val="28"/>
        </w:rPr>
        <w:t> </w:t>
      </w:r>
      <w:r>
        <w:rPr/>
        <w:t>el</w:t>
      </w:r>
      <w:r>
        <w:rPr>
          <w:spacing w:val="27"/>
        </w:rPr>
        <w:t> </w:t>
      </w:r>
      <w:r>
        <w:rPr/>
        <w:t>Fortalecimiento</w:t>
      </w:r>
      <w:r>
        <w:rPr>
          <w:spacing w:val="27"/>
        </w:rPr>
        <w:t> </w:t>
      </w:r>
      <w:r>
        <w:rPr/>
        <w:t>de</w:t>
      </w:r>
      <w:r>
        <w:rPr>
          <w:spacing w:val="27"/>
        </w:rPr>
        <w:t> </w:t>
      </w:r>
      <w:r>
        <w:rPr/>
        <w:t>las Entidades Federativas de la entidad </w:t>
      </w:r>
      <w:r>
        <w:rPr>
          <w:rFonts w:ascii="Arial" w:hAnsi="Arial"/>
          <w:i/>
        </w:rPr>
        <w:t>i </w:t>
      </w:r>
      <w:r>
        <w:rPr/>
        <w:t>en el año en que se efectúa el cálculo.</w:t>
      </w:r>
    </w:p>
    <w:p>
      <w:pPr>
        <w:pStyle w:val="BodyText"/>
        <w:spacing w:before="230"/>
        <w:ind w:left="709"/>
      </w:pPr>
      <w:r>
        <w:rPr/>
        <w:t>T</w:t>
      </w:r>
      <w:r>
        <w:rPr>
          <w:position w:val="-3"/>
        </w:rPr>
        <w:t>i,t</w:t>
      </w:r>
      <w:r>
        <w:rPr>
          <w:spacing w:val="-6"/>
          <w:position w:val="-3"/>
        </w:rPr>
        <w:t> </w:t>
      </w:r>
      <w:r>
        <w:rPr/>
        <w:t>es</w:t>
      </w:r>
      <w:r>
        <w:rPr>
          <w:spacing w:val="-4"/>
        </w:rPr>
        <w:t> </w:t>
      </w:r>
      <w:r>
        <w:rPr/>
        <w:t>la</w:t>
      </w:r>
      <w:r>
        <w:rPr>
          <w:spacing w:val="-5"/>
        </w:rPr>
        <w:t> </w:t>
      </w:r>
      <w:r>
        <w:rPr/>
        <w:t>aportación</w:t>
      </w:r>
      <w:r>
        <w:rPr>
          <w:spacing w:val="-5"/>
        </w:rPr>
        <w:t> </w:t>
      </w:r>
      <w:r>
        <w:rPr/>
        <w:t>del</w:t>
      </w:r>
      <w:r>
        <w:rPr>
          <w:spacing w:val="-6"/>
        </w:rPr>
        <w:t> </w:t>
      </w:r>
      <w:r>
        <w:rPr/>
        <w:t>fondo</w:t>
      </w:r>
      <w:r>
        <w:rPr>
          <w:spacing w:val="-6"/>
        </w:rPr>
        <w:t> </w:t>
      </w:r>
      <w:r>
        <w:rPr/>
        <w:t>al</w:t>
      </w:r>
      <w:r>
        <w:rPr>
          <w:spacing w:val="-6"/>
        </w:rPr>
        <w:t> </w:t>
      </w:r>
      <w:r>
        <w:rPr/>
        <w:t>que</w:t>
      </w:r>
      <w:r>
        <w:rPr>
          <w:spacing w:val="-6"/>
        </w:rPr>
        <w:t> </w:t>
      </w:r>
      <w:r>
        <w:rPr/>
        <w:t>se</w:t>
      </w:r>
      <w:r>
        <w:rPr>
          <w:spacing w:val="-6"/>
        </w:rPr>
        <w:t> </w:t>
      </w:r>
      <w:r>
        <w:rPr/>
        <w:t>refiere</w:t>
      </w:r>
      <w:r>
        <w:rPr>
          <w:spacing w:val="-2"/>
        </w:rPr>
        <w:t> </w:t>
      </w:r>
      <w:r>
        <w:rPr/>
        <w:t>este</w:t>
      </w:r>
      <w:r>
        <w:rPr>
          <w:spacing w:val="-3"/>
        </w:rPr>
        <w:t> </w:t>
      </w:r>
      <w:r>
        <w:rPr/>
        <w:t>artículo</w:t>
      </w:r>
      <w:r>
        <w:rPr>
          <w:spacing w:val="-4"/>
        </w:rPr>
        <w:t> </w:t>
      </w:r>
      <w:r>
        <w:rPr/>
        <w:t>para</w:t>
      </w:r>
      <w:r>
        <w:rPr>
          <w:spacing w:val="-3"/>
        </w:rPr>
        <w:t> </w:t>
      </w:r>
      <w:r>
        <w:rPr/>
        <w:t>la</w:t>
      </w:r>
      <w:r>
        <w:rPr>
          <w:spacing w:val="-4"/>
        </w:rPr>
        <w:t> </w:t>
      </w:r>
      <w:r>
        <w:rPr/>
        <w:t>entidad</w:t>
      </w:r>
      <w:r>
        <w:rPr>
          <w:spacing w:val="2"/>
        </w:rPr>
        <w:t> </w:t>
      </w:r>
      <w:r>
        <w:rPr>
          <w:rFonts w:ascii="Arial" w:hAnsi="Arial"/>
          <w:i/>
        </w:rPr>
        <w:t>i</w:t>
      </w:r>
      <w:r>
        <w:rPr>
          <w:rFonts w:ascii="Arial" w:hAnsi="Arial"/>
          <w:i/>
          <w:spacing w:val="-5"/>
        </w:rPr>
        <w:t> </w:t>
      </w:r>
      <w:r>
        <w:rPr/>
        <w:t>en</w:t>
      </w:r>
      <w:r>
        <w:rPr>
          <w:spacing w:val="-4"/>
        </w:rPr>
        <w:t> </w:t>
      </w:r>
      <w:r>
        <w:rPr/>
        <w:t>el</w:t>
      </w:r>
      <w:r>
        <w:rPr>
          <w:spacing w:val="-4"/>
        </w:rPr>
        <w:t> </w:t>
      </w:r>
      <w:r>
        <w:rPr/>
        <w:t>año</w:t>
      </w:r>
      <w:r>
        <w:rPr>
          <w:spacing w:val="-6"/>
        </w:rPr>
        <w:t> </w:t>
      </w:r>
      <w:r>
        <w:rPr>
          <w:rFonts w:ascii="Arial" w:hAnsi="Arial"/>
          <w:i/>
          <w:spacing w:val="-5"/>
        </w:rPr>
        <w:t>t</w:t>
      </w:r>
      <w:r>
        <w:rPr>
          <w:spacing w:val="-5"/>
        </w:rPr>
        <w:t>.</w:t>
      </w:r>
    </w:p>
    <w:p>
      <w:pPr>
        <w:pStyle w:val="BodyText"/>
        <w:spacing w:before="1"/>
      </w:pPr>
    </w:p>
    <w:p>
      <w:pPr>
        <w:pStyle w:val="BodyText"/>
        <w:ind w:left="709"/>
      </w:pPr>
      <w:r>
        <w:rPr/>
        <w:t>T</w:t>
      </w:r>
      <w:r>
        <w:rPr>
          <w:position w:val="-3"/>
        </w:rPr>
        <w:t>i,07 </w:t>
      </w:r>
      <w:r>
        <w:rPr/>
        <w:t>es</w:t>
      </w:r>
      <w:r>
        <w:rPr>
          <w:spacing w:val="17"/>
        </w:rPr>
        <w:t> </w:t>
      </w:r>
      <w:r>
        <w:rPr/>
        <w:t>la aportación del fondo al que se refiere este artículo que la entidad</w:t>
      </w:r>
      <w:r>
        <w:rPr>
          <w:spacing w:val="26"/>
        </w:rPr>
        <w:t> </w:t>
      </w:r>
      <w:r>
        <w:rPr>
          <w:rFonts w:ascii="Arial" w:hAnsi="Arial"/>
          <w:i/>
        </w:rPr>
        <w:t>i</w:t>
      </w:r>
      <w:r>
        <w:rPr>
          <w:rFonts w:ascii="Arial" w:hAnsi="Arial"/>
          <w:i/>
          <w:spacing w:val="18"/>
        </w:rPr>
        <w:t> </w:t>
      </w:r>
      <w:r>
        <w:rPr/>
        <w:t>recibió en el año</w:t>
      </w:r>
      <w:r>
        <w:rPr>
          <w:spacing w:val="40"/>
        </w:rPr>
        <w:t> </w:t>
      </w:r>
      <w:r>
        <w:rPr>
          <w:spacing w:val="-2"/>
        </w:rPr>
        <w:t>2007.</w:t>
      </w:r>
    </w:p>
    <w:p>
      <w:pPr>
        <w:pStyle w:val="BodyText"/>
      </w:pPr>
    </w:p>
    <w:p>
      <w:pPr>
        <w:pStyle w:val="BodyText"/>
        <w:ind w:left="709"/>
      </w:pPr>
      <w:r>
        <w:rPr/>
        <w:t>PIBpc</w:t>
      </w:r>
      <w:r>
        <w:rPr>
          <w:position w:val="-3"/>
        </w:rPr>
        <w:t>i </w:t>
      </w:r>
      <w:r>
        <w:rPr/>
        <w:t>es la última información oficial del Producto Interno Bruto per cápita que hubiere dado a</w:t>
      </w:r>
      <w:r>
        <w:rPr>
          <w:spacing w:val="40"/>
        </w:rPr>
        <w:t> </w:t>
      </w:r>
      <w:r>
        <w:rPr/>
        <w:t>conocer el Instituto Nacional de Estadística, Geografía e Informática para la entidad </w:t>
      </w:r>
      <w:r>
        <w:rPr>
          <w:rFonts w:ascii="Arial" w:hAnsi="Arial"/>
          <w:i/>
        </w:rPr>
        <w:t>i</w:t>
      </w:r>
      <w:r>
        <w:rPr/>
        <w:t>.</w:t>
      </w:r>
    </w:p>
    <w:p>
      <w:pPr>
        <w:pStyle w:val="BodyText"/>
        <w:spacing w:before="1"/>
      </w:pPr>
    </w:p>
    <w:p>
      <w:pPr>
        <w:pStyle w:val="BodyText"/>
        <w:ind w:left="709"/>
      </w:pPr>
      <w:r>
        <w:rPr>
          <w:rFonts w:ascii="Symbol" w:hAnsi="Symbol"/>
        </w:rPr>
        <w:t></w:t>
      </w:r>
      <w:r>
        <w:rPr/>
        <w:t>FAFEF</w:t>
      </w:r>
      <w:r>
        <w:rPr>
          <w:position w:val="-3"/>
        </w:rPr>
        <w:t>07,t</w:t>
      </w:r>
      <w:r>
        <w:rPr>
          <w:spacing w:val="40"/>
          <w:position w:val="-3"/>
        </w:rPr>
        <w:t> </w:t>
      </w:r>
      <w:r>
        <w:rPr/>
        <w:t>es</w:t>
      </w:r>
      <w:r>
        <w:rPr>
          <w:spacing w:val="40"/>
        </w:rPr>
        <w:t> </w:t>
      </w:r>
      <w:r>
        <w:rPr/>
        <w:t>el</w:t>
      </w:r>
      <w:r>
        <w:rPr>
          <w:spacing w:val="40"/>
        </w:rPr>
        <w:t> </w:t>
      </w:r>
      <w:r>
        <w:rPr/>
        <w:t>crecimiento</w:t>
      </w:r>
      <w:r>
        <w:rPr>
          <w:spacing w:val="40"/>
        </w:rPr>
        <w:t> </w:t>
      </w:r>
      <w:r>
        <w:rPr/>
        <w:t>en</w:t>
      </w:r>
      <w:r>
        <w:rPr>
          <w:spacing w:val="40"/>
        </w:rPr>
        <w:t> </w:t>
      </w:r>
      <w:r>
        <w:rPr/>
        <w:t>el</w:t>
      </w:r>
      <w:r>
        <w:rPr>
          <w:spacing w:val="40"/>
        </w:rPr>
        <w:t> </w:t>
      </w:r>
      <w:r>
        <w:rPr/>
        <w:t>Fondo</w:t>
      </w:r>
      <w:r>
        <w:rPr>
          <w:spacing w:val="40"/>
        </w:rPr>
        <w:t> </w:t>
      </w:r>
      <w:r>
        <w:rPr/>
        <w:t>de</w:t>
      </w:r>
      <w:r>
        <w:rPr>
          <w:spacing w:val="40"/>
        </w:rPr>
        <w:t> </w:t>
      </w:r>
      <w:r>
        <w:rPr/>
        <w:t>Aportaciones</w:t>
      </w:r>
      <w:r>
        <w:rPr>
          <w:spacing w:val="40"/>
        </w:rPr>
        <w:t> </w:t>
      </w:r>
      <w:r>
        <w:rPr/>
        <w:t>para</w:t>
      </w:r>
      <w:r>
        <w:rPr>
          <w:spacing w:val="40"/>
        </w:rPr>
        <w:t> </w:t>
      </w:r>
      <w:r>
        <w:rPr/>
        <w:t>el</w:t>
      </w:r>
      <w:r>
        <w:rPr>
          <w:spacing w:val="40"/>
        </w:rPr>
        <w:t> </w:t>
      </w:r>
      <w:r>
        <w:rPr/>
        <w:t>Fortalecimiento</w:t>
      </w:r>
      <w:r>
        <w:rPr>
          <w:spacing w:val="40"/>
        </w:rPr>
        <w:t> </w:t>
      </w:r>
      <w:r>
        <w:rPr/>
        <w:t>de</w:t>
      </w:r>
      <w:r>
        <w:rPr>
          <w:spacing w:val="40"/>
        </w:rPr>
        <w:t> </w:t>
      </w:r>
      <w:r>
        <w:rPr/>
        <w:t>las Entidades Federativas entre el año 2007 y el año </w:t>
      </w:r>
      <w:r>
        <w:rPr>
          <w:rFonts w:ascii="Arial" w:hAnsi="Arial"/>
          <w:i/>
        </w:rPr>
        <w:t>t</w:t>
      </w:r>
      <w:r>
        <w:rPr/>
        <w:t>.</w:t>
      </w:r>
    </w:p>
    <w:p>
      <w:pPr>
        <w:pStyle w:val="BodyText"/>
      </w:pPr>
    </w:p>
    <w:p>
      <w:pPr>
        <w:pStyle w:val="BodyText"/>
        <w:ind w:left="709"/>
      </w:pPr>
      <w:r>
        <w:rPr/>
        <w:t>n</w:t>
      </w:r>
      <w:r>
        <w:rPr>
          <w:position w:val="-3"/>
        </w:rPr>
        <w:t>i</w:t>
      </w:r>
      <w:r>
        <w:rPr>
          <w:spacing w:val="-4"/>
          <w:position w:val="-3"/>
        </w:rPr>
        <w:t> </w:t>
      </w:r>
      <w:r>
        <w:rPr/>
        <w:t>es la</w:t>
      </w:r>
      <w:r>
        <w:rPr>
          <w:spacing w:val="-1"/>
        </w:rPr>
        <w:t> </w:t>
      </w:r>
      <w:r>
        <w:rPr/>
        <w:t>última</w:t>
      </w:r>
      <w:r>
        <w:rPr>
          <w:spacing w:val="-3"/>
        </w:rPr>
        <w:t> </w:t>
      </w:r>
      <w:r>
        <w:rPr/>
        <w:t>información</w:t>
      </w:r>
      <w:r>
        <w:rPr>
          <w:spacing w:val="-4"/>
        </w:rPr>
        <w:t> </w:t>
      </w:r>
      <w:r>
        <w:rPr/>
        <w:t>oficial</w:t>
      </w:r>
      <w:r>
        <w:rPr>
          <w:spacing w:val="-2"/>
        </w:rPr>
        <w:t> </w:t>
      </w:r>
      <w:r>
        <w:rPr/>
        <w:t>de</w:t>
      </w:r>
      <w:r>
        <w:rPr>
          <w:spacing w:val="-2"/>
        </w:rPr>
        <w:t> </w:t>
      </w:r>
      <w:r>
        <w:rPr/>
        <w:t>población</w:t>
      </w:r>
      <w:r>
        <w:rPr>
          <w:spacing w:val="-2"/>
        </w:rPr>
        <w:t> </w:t>
      </w:r>
      <w:r>
        <w:rPr/>
        <w:t>que</w:t>
      </w:r>
      <w:r>
        <w:rPr>
          <w:spacing w:val="-1"/>
        </w:rPr>
        <w:t> </w:t>
      </w:r>
      <w:r>
        <w:rPr/>
        <w:t>hubiere dado</w:t>
      </w:r>
      <w:r>
        <w:rPr>
          <w:spacing w:val="-2"/>
        </w:rPr>
        <w:t> </w:t>
      </w:r>
      <w:r>
        <w:rPr/>
        <w:t>a</w:t>
      </w:r>
      <w:r>
        <w:rPr>
          <w:spacing w:val="-3"/>
        </w:rPr>
        <w:t> </w:t>
      </w:r>
      <w:r>
        <w:rPr/>
        <w:t>conocer</w:t>
      </w:r>
      <w:r>
        <w:rPr>
          <w:spacing w:val="-3"/>
        </w:rPr>
        <w:t> </w:t>
      </w:r>
      <w:r>
        <w:rPr/>
        <w:t>el</w:t>
      </w:r>
      <w:r>
        <w:rPr>
          <w:spacing w:val="-2"/>
        </w:rPr>
        <w:t> </w:t>
      </w:r>
      <w:r>
        <w:rPr/>
        <w:t>Instituto</w:t>
      </w:r>
      <w:r>
        <w:rPr>
          <w:spacing w:val="-3"/>
        </w:rPr>
        <w:t> </w:t>
      </w:r>
      <w:r>
        <w:rPr/>
        <w:t>Nacional</w:t>
      </w:r>
      <w:r>
        <w:rPr>
          <w:spacing w:val="-2"/>
        </w:rPr>
        <w:t> </w:t>
      </w:r>
      <w:r>
        <w:rPr/>
        <w:t>de Estadística, Geografía e Informática para la entidad </w:t>
      </w:r>
      <w:r>
        <w:rPr>
          <w:rFonts w:ascii="Arial" w:hAnsi="Arial"/>
          <w:i/>
        </w:rPr>
        <w:t>i</w:t>
      </w:r>
      <w:r>
        <w:rPr/>
        <w:t>.</w:t>
      </w:r>
    </w:p>
    <w:p>
      <w:pPr>
        <w:pStyle w:val="BodyText"/>
        <w:tabs>
          <w:tab w:pos="1225" w:val="left" w:leader="none"/>
        </w:tabs>
        <w:spacing w:line="413" w:lineRule="exact" w:before="190"/>
        <w:ind w:left="744"/>
      </w:pPr>
      <w:r>
        <w:rPr>
          <w:rFonts w:ascii="Symbol" w:hAnsi="Symbol"/>
          <w:spacing w:val="-10"/>
          <w:position w:val="-4"/>
          <w:sz w:val="35"/>
        </w:rPr>
        <w:t></w:t>
      </w:r>
      <w:r>
        <w:rPr>
          <w:rFonts w:ascii="Times New Roman" w:hAnsi="Times New Roman"/>
          <w:position w:val="-4"/>
          <w:sz w:val="35"/>
        </w:rPr>
        <w:tab/>
      </w:r>
      <w:r>
        <w:rPr/>
        <w:t>es</w:t>
      </w:r>
      <w:r>
        <w:rPr>
          <w:spacing w:val="-6"/>
        </w:rPr>
        <w:t> </w:t>
      </w:r>
      <w:r>
        <w:rPr/>
        <w:t>la</w:t>
      </w:r>
      <w:r>
        <w:rPr>
          <w:spacing w:val="-6"/>
        </w:rPr>
        <w:t> </w:t>
      </w:r>
      <w:r>
        <w:rPr/>
        <w:t>sumatoria</w:t>
      </w:r>
      <w:r>
        <w:rPr>
          <w:spacing w:val="-6"/>
        </w:rPr>
        <w:t> </w:t>
      </w:r>
      <w:r>
        <w:rPr/>
        <w:t>sobre</w:t>
      </w:r>
      <w:r>
        <w:rPr>
          <w:spacing w:val="-7"/>
        </w:rPr>
        <w:t> </w:t>
      </w:r>
      <w:r>
        <w:rPr/>
        <w:t>todas</w:t>
      </w:r>
      <w:r>
        <w:rPr>
          <w:spacing w:val="-5"/>
        </w:rPr>
        <w:t> </w:t>
      </w:r>
      <w:r>
        <w:rPr/>
        <w:t>las</w:t>
      </w:r>
      <w:r>
        <w:rPr>
          <w:spacing w:val="-6"/>
        </w:rPr>
        <w:t> </w:t>
      </w:r>
      <w:r>
        <w:rPr/>
        <w:t>entidades</w:t>
      </w:r>
      <w:r>
        <w:rPr>
          <w:spacing w:val="-5"/>
        </w:rPr>
        <w:t> </w:t>
      </w:r>
      <w:r>
        <w:rPr/>
        <w:t>de</w:t>
      </w:r>
      <w:r>
        <w:rPr>
          <w:spacing w:val="-6"/>
        </w:rPr>
        <w:t> </w:t>
      </w:r>
      <w:r>
        <w:rPr/>
        <w:t>la</w:t>
      </w:r>
      <w:r>
        <w:rPr>
          <w:spacing w:val="-5"/>
        </w:rPr>
        <w:t> </w:t>
      </w:r>
      <w:r>
        <w:rPr/>
        <w:t>variable</w:t>
      </w:r>
      <w:r>
        <w:rPr>
          <w:spacing w:val="-6"/>
        </w:rPr>
        <w:t> </w:t>
      </w:r>
      <w:r>
        <w:rPr/>
        <w:t>que</w:t>
      </w:r>
      <w:r>
        <w:rPr>
          <w:spacing w:val="-5"/>
        </w:rPr>
        <w:t> </w:t>
      </w:r>
      <w:r>
        <w:rPr/>
        <w:t>le</w:t>
      </w:r>
      <w:r>
        <w:rPr>
          <w:spacing w:val="-7"/>
        </w:rPr>
        <w:t> </w:t>
      </w:r>
      <w:r>
        <w:rPr>
          <w:spacing w:val="-2"/>
        </w:rPr>
        <w:t>sigue.</w:t>
      </w:r>
    </w:p>
    <w:p>
      <w:pPr>
        <w:spacing w:line="145" w:lineRule="exact" w:before="0"/>
        <w:ind w:left="850" w:right="0" w:firstLine="0"/>
        <w:jc w:val="left"/>
        <w:rPr>
          <w:rFonts w:ascii="Times New Roman"/>
          <w:i/>
          <w:sz w:val="14"/>
        </w:rPr>
      </w:pPr>
      <w:r>
        <w:rPr>
          <w:rFonts w:ascii="Times New Roman"/>
          <w:i/>
          <w:spacing w:val="-10"/>
          <w:sz w:val="14"/>
        </w:rPr>
        <w:t>i</w:t>
      </w:r>
    </w:p>
    <w:p>
      <w:pPr>
        <w:spacing w:before="19"/>
        <w:ind w:left="603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“fórmula”</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
        <w:rPr>
          <w:rFonts w:ascii="Times New Roman"/>
          <w:i/>
        </w:rPr>
      </w:pPr>
    </w:p>
    <w:p>
      <w:pPr>
        <w:pStyle w:val="BodyText"/>
        <w:ind w:left="1" w:right="142" w:firstLine="288"/>
        <w:jc w:val="both"/>
      </w:pPr>
      <w:r>
        <w:rPr/>
        <w:t>La fórmula anterior no será aplicable en el evento de que en el año de cálculo el monto del Fondo de Aportaciones para el Fortalecimiento de las Entidades Federativas sea inferior al observado en el año 2007.</w:t>
      </w:r>
      <w:r>
        <w:rPr>
          <w:spacing w:val="-2"/>
        </w:rPr>
        <w:t> </w:t>
      </w:r>
      <w:r>
        <w:rPr/>
        <w:t>En</w:t>
      </w:r>
      <w:r>
        <w:rPr>
          <w:spacing w:val="-2"/>
        </w:rPr>
        <w:t> </w:t>
      </w:r>
      <w:r>
        <w:rPr/>
        <w:t>dicho</w:t>
      </w:r>
      <w:r>
        <w:rPr>
          <w:spacing w:val="-3"/>
        </w:rPr>
        <w:t> </w:t>
      </w:r>
      <w:r>
        <w:rPr/>
        <w:t>supuesto, la</w:t>
      </w:r>
      <w:r>
        <w:rPr>
          <w:spacing w:val="-2"/>
        </w:rPr>
        <w:t> </w:t>
      </w:r>
      <w:r>
        <w:rPr/>
        <w:t>distribución</w:t>
      </w:r>
      <w:r>
        <w:rPr>
          <w:spacing w:val="-2"/>
        </w:rPr>
        <w:t> </w:t>
      </w:r>
      <w:r>
        <w:rPr/>
        <w:t>se</w:t>
      </w:r>
      <w:r>
        <w:rPr>
          <w:spacing w:val="-2"/>
        </w:rPr>
        <w:t> </w:t>
      </w:r>
      <w:r>
        <w:rPr/>
        <w:t>realizará</w:t>
      </w:r>
      <w:r>
        <w:rPr>
          <w:spacing w:val="-2"/>
        </w:rPr>
        <w:t> </w:t>
      </w:r>
      <w:r>
        <w:rPr/>
        <w:t>en</w:t>
      </w:r>
      <w:r>
        <w:rPr>
          <w:spacing w:val="-2"/>
        </w:rPr>
        <w:t> </w:t>
      </w:r>
      <w:r>
        <w:rPr/>
        <w:t>función</w:t>
      </w:r>
      <w:r>
        <w:rPr>
          <w:spacing w:val="-3"/>
        </w:rPr>
        <w:t> </w:t>
      </w:r>
      <w:r>
        <w:rPr/>
        <w:t>de la</w:t>
      </w:r>
      <w:r>
        <w:rPr>
          <w:spacing w:val="-2"/>
        </w:rPr>
        <w:t> </w:t>
      </w:r>
      <w:r>
        <w:rPr/>
        <w:t>cantidad</w:t>
      </w:r>
      <w:r>
        <w:rPr>
          <w:spacing w:val="-2"/>
        </w:rPr>
        <w:t> </w:t>
      </w:r>
      <w:r>
        <w:rPr/>
        <w:t>efectivamente generada</w:t>
      </w:r>
      <w:r>
        <w:rPr>
          <w:spacing w:val="-3"/>
        </w:rPr>
        <w:t> </w:t>
      </w:r>
      <w:r>
        <w:rPr/>
        <w:t>en el año de cálculo y de acuerdo al coeficiente efectivo que cada entidad haya recibido de dicho Fondo en</w:t>
      </w:r>
      <w:r>
        <w:rPr>
          <w:spacing w:val="40"/>
        </w:rPr>
        <w:t> </w:t>
      </w:r>
      <w:r>
        <w:rPr/>
        <w:t>el año 2007.</w:t>
      </w:r>
    </w:p>
    <w:p>
      <w:pPr>
        <w:spacing w:line="240" w:lineRule="auto" w:before="0"/>
        <w:ind w:left="4195" w:right="0" w:firstLine="279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21-12-2007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13-03-2002,</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2006</w:t>
      </w:r>
    </w:p>
    <w:p>
      <w:pPr>
        <w:pStyle w:val="BodyText"/>
        <w:spacing w:before="43"/>
        <w:rPr>
          <w:rFonts w:ascii="Times New Roman"/>
          <w:i/>
          <w:sz w:val="16"/>
        </w:rPr>
      </w:pPr>
    </w:p>
    <w:p>
      <w:pPr>
        <w:pStyle w:val="BodyText"/>
        <w:spacing w:line="242" w:lineRule="auto"/>
        <w:ind w:left="1" w:firstLine="288"/>
      </w:pPr>
      <w:bookmarkStart w:name="Artículo_47" w:id="62"/>
      <w:bookmarkEnd w:id="62"/>
      <w:r>
        <w:rPr/>
      </w:r>
      <w:r>
        <w:rPr>
          <w:rFonts w:ascii="Arial" w:hAnsi="Arial"/>
          <w:b/>
        </w:rPr>
        <w:t>Artículo</w:t>
      </w:r>
      <w:r>
        <w:rPr>
          <w:rFonts w:ascii="Arial" w:hAnsi="Arial"/>
          <w:b/>
          <w:spacing w:val="40"/>
        </w:rPr>
        <w:t> </w:t>
      </w:r>
      <w:r>
        <w:rPr>
          <w:rFonts w:ascii="Arial" w:hAnsi="Arial"/>
          <w:b/>
        </w:rPr>
        <w:t>47.</w:t>
      </w:r>
      <w:r>
        <w:rPr>
          <w:rFonts w:ascii="Arial" w:hAnsi="Arial"/>
          <w:b/>
          <w:spacing w:val="40"/>
        </w:rPr>
        <w:t> </w:t>
      </w:r>
      <w:r>
        <w:rPr/>
        <w:t>Los</w:t>
      </w:r>
      <w:r>
        <w:rPr>
          <w:spacing w:val="40"/>
        </w:rPr>
        <w:t> </w:t>
      </w:r>
      <w:r>
        <w:rPr/>
        <w:t>recursos</w:t>
      </w:r>
      <w:r>
        <w:rPr>
          <w:spacing w:val="40"/>
        </w:rPr>
        <w:t> </w:t>
      </w:r>
      <w:r>
        <w:rPr/>
        <w:t>del</w:t>
      </w:r>
      <w:r>
        <w:rPr>
          <w:spacing w:val="40"/>
        </w:rPr>
        <w:t> </w:t>
      </w:r>
      <w:r>
        <w:rPr/>
        <w:t>Fondo</w:t>
      </w:r>
      <w:r>
        <w:rPr>
          <w:spacing w:val="40"/>
        </w:rPr>
        <w:t> </w:t>
      </w:r>
      <w:r>
        <w:rPr/>
        <w:t>de</w:t>
      </w:r>
      <w:r>
        <w:rPr>
          <w:spacing w:val="40"/>
        </w:rPr>
        <w:t> </w:t>
      </w:r>
      <w:r>
        <w:rPr/>
        <w:t>Aportaciones</w:t>
      </w:r>
      <w:r>
        <w:rPr>
          <w:spacing w:val="40"/>
        </w:rPr>
        <w:t> </w:t>
      </w:r>
      <w:r>
        <w:rPr/>
        <w:t>para</w:t>
      </w:r>
      <w:r>
        <w:rPr>
          <w:spacing w:val="40"/>
        </w:rPr>
        <w:t> </w:t>
      </w:r>
      <w:r>
        <w:rPr/>
        <w:t>el</w:t>
      </w:r>
      <w:r>
        <w:rPr>
          <w:spacing w:val="40"/>
        </w:rPr>
        <w:t> </w:t>
      </w:r>
      <w:r>
        <w:rPr/>
        <w:t>Fortalecimiento</w:t>
      </w:r>
      <w:r>
        <w:rPr>
          <w:spacing w:val="40"/>
        </w:rPr>
        <w:t> </w:t>
      </w:r>
      <w:r>
        <w:rPr/>
        <w:t>de</w:t>
      </w:r>
      <w:r>
        <w:rPr>
          <w:spacing w:val="40"/>
        </w:rPr>
        <w:t> </w:t>
      </w:r>
      <w:r>
        <w:rPr/>
        <w:t>las</w:t>
      </w:r>
      <w:r>
        <w:rPr>
          <w:spacing w:val="40"/>
        </w:rPr>
        <w:t> </w:t>
      </w:r>
      <w:r>
        <w:rPr/>
        <w:t>Entidades Federativas se destinarán:</w:t>
      </w:r>
    </w:p>
    <w:p>
      <w:pPr>
        <w:pStyle w:val="ListParagraph"/>
        <w:numPr>
          <w:ilvl w:val="0"/>
          <w:numId w:val="14"/>
        </w:numPr>
        <w:tabs>
          <w:tab w:pos="1173" w:val="left" w:leader="none"/>
        </w:tabs>
        <w:spacing w:line="240" w:lineRule="auto" w:before="227" w:after="0"/>
        <w:ind w:left="1173" w:right="142" w:hanging="812"/>
        <w:jc w:val="both"/>
        <w:rPr>
          <w:sz w:val="20"/>
        </w:rPr>
      </w:pPr>
      <w:r>
        <w:rPr>
          <w:sz w:val="20"/>
        </w:rPr>
        <w:t>A la inversión en infraestructura física, incluyendo la construcción, reconstrucción, ampliación, mantenimiento y conservación de infraestructura; así como la adquisición de bienes para el equipamiento de las obras generadas o adquiridas; infraestructura hidroagrícola, y hasta un 3 por ciento del costo del programa o proyecto programado en el ejercicio fiscal correspondiente, para gastos indirectos por concepto de realización de estudios, elaboración y evaluación de proyectos, supervisión y control de estas obras de </w:t>
      </w:r>
      <w:r>
        <w:rPr>
          <w:spacing w:val="-2"/>
          <w:sz w:val="20"/>
        </w:rPr>
        <w:t>infraestructura;</w:t>
      </w:r>
    </w:p>
    <w:p>
      <w:pPr>
        <w:pStyle w:val="ListParagraph"/>
        <w:numPr>
          <w:ilvl w:val="0"/>
          <w:numId w:val="14"/>
        </w:numPr>
        <w:tabs>
          <w:tab w:pos="1173" w:val="left" w:leader="none"/>
        </w:tabs>
        <w:spacing w:line="242" w:lineRule="auto" w:before="229" w:after="0"/>
        <w:ind w:left="1173" w:right="145" w:hanging="812"/>
        <w:jc w:val="both"/>
        <w:rPr>
          <w:sz w:val="20"/>
        </w:rPr>
      </w:pPr>
      <w:r>
        <w:rPr>
          <w:sz w:val="20"/>
        </w:rPr>
        <w:t>Al saneamiento financiero, preferentemente a través de la amortización de deuda pública, expresada como una reducción al saldo registrado al 31 de diciembre del año inmediato anterior. Asimismo, podrán realizarse otras acciones de saneamiento financiero, siempre y cuando se acredite un impacto favorable en la fortaleza de las finanzas públicas locales;</w:t>
      </w:r>
    </w:p>
    <w:p>
      <w:pPr>
        <w:pStyle w:val="ListParagraph"/>
        <w:numPr>
          <w:ilvl w:val="0"/>
          <w:numId w:val="14"/>
        </w:numPr>
        <w:tabs>
          <w:tab w:pos="1173" w:val="left" w:leader="none"/>
        </w:tabs>
        <w:spacing w:line="242" w:lineRule="auto" w:before="220" w:after="0"/>
        <w:ind w:left="1173" w:right="145" w:hanging="812"/>
        <w:jc w:val="both"/>
        <w:rPr>
          <w:sz w:val="20"/>
        </w:rPr>
      </w:pPr>
      <w:r>
        <w:rPr>
          <w:sz w:val="20"/>
        </w:rPr>
        <w:t>Para apoyar el saneamiento de pensiones y, en su caso, reformas a los sistemas de pensiones de los Estados y del Distrito Federal, prioritariamente a las reservas actuariales;</w:t>
      </w:r>
    </w:p>
    <w:p>
      <w:pPr>
        <w:pStyle w:val="ListParagraph"/>
        <w:numPr>
          <w:ilvl w:val="0"/>
          <w:numId w:val="14"/>
        </w:numPr>
        <w:tabs>
          <w:tab w:pos="1171" w:val="left" w:leader="none"/>
          <w:tab w:pos="1173" w:val="left" w:leader="none"/>
        </w:tabs>
        <w:spacing w:line="240" w:lineRule="auto" w:before="227" w:after="0"/>
        <w:ind w:left="1173" w:right="138" w:hanging="812"/>
        <w:jc w:val="both"/>
        <w:rPr>
          <w:sz w:val="20"/>
        </w:rPr>
      </w:pPr>
      <w:r>
        <w:rPr>
          <w:sz w:val="20"/>
        </w:rPr>
        <w:t>A la modernización de los registros públicos de la propiedad y del comercio locales, en el marco de la coordinación para homologar los registros públicos; así como para modernización de los catastros, con el objeto de actualizar los valores de los bienes y hacer más eficiente la recaudación de contribuciones;</w:t>
      </w:r>
    </w:p>
    <w:p>
      <w:pPr>
        <w:pStyle w:val="ListParagraph"/>
        <w:spacing w:after="0" w:line="240" w:lineRule="auto"/>
        <w:jc w:val="both"/>
        <w:rPr>
          <w:sz w:val="20"/>
        </w:rPr>
        <w:sectPr>
          <w:pgSz w:w="12250" w:h="15850"/>
          <w:pgMar w:header="724" w:footer="712" w:top="1880" w:bottom="900" w:left="1417" w:right="1275"/>
        </w:sectPr>
      </w:pPr>
    </w:p>
    <w:p>
      <w:pPr>
        <w:pStyle w:val="BodyText"/>
      </w:pPr>
    </w:p>
    <w:p>
      <w:pPr>
        <w:pStyle w:val="BodyText"/>
        <w:spacing w:before="65"/>
      </w:pPr>
    </w:p>
    <w:p>
      <w:pPr>
        <w:pStyle w:val="ListParagraph"/>
        <w:numPr>
          <w:ilvl w:val="0"/>
          <w:numId w:val="14"/>
        </w:numPr>
        <w:tabs>
          <w:tab w:pos="1173" w:val="left" w:leader="none"/>
        </w:tabs>
        <w:spacing w:line="240" w:lineRule="auto" w:before="0" w:after="0"/>
        <w:ind w:left="1173" w:right="143" w:hanging="812"/>
        <w:jc w:val="both"/>
        <w:rPr>
          <w:sz w:val="20"/>
        </w:rPr>
      </w:pPr>
      <w:r>
        <w:rPr>
          <w:sz w:val="20"/>
        </w:rPr>
        <w:t>Para modernizar los sistemas de recaudación locales y para desarrollar mecanismos impositivos que permitan ampliar la base gravable de las contribuciones locales, lo cual genere un incremento neto en la recaudación;</w:t>
      </w:r>
    </w:p>
    <w:p>
      <w:pPr>
        <w:pStyle w:val="BodyText"/>
      </w:pPr>
    </w:p>
    <w:p>
      <w:pPr>
        <w:pStyle w:val="ListParagraph"/>
        <w:numPr>
          <w:ilvl w:val="0"/>
          <w:numId w:val="14"/>
        </w:numPr>
        <w:tabs>
          <w:tab w:pos="1171" w:val="left" w:leader="none"/>
          <w:tab w:pos="1173" w:val="left" w:leader="none"/>
        </w:tabs>
        <w:spacing w:line="242" w:lineRule="auto" w:before="0" w:after="0"/>
        <w:ind w:left="1173" w:right="142" w:hanging="812"/>
        <w:jc w:val="both"/>
        <w:rPr>
          <w:sz w:val="20"/>
        </w:rPr>
      </w:pPr>
      <w:r>
        <w:rPr>
          <w:sz w:val="20"/>
        </w:rPr>
        <w:t>Al fortalecimiento de los proyectos de investigación científica y desarrollo tecnológico, siempre y cuando las aportaciones federales destinadas a este rubro sean adicionales a los recursos de naturaleza local aprobados por las legislaturas locales en dicha materia;</w:t>
      </w:r>
    </w:p>
    <w:p>
      <w:pPr>
        <w:pStyle w:val="ListParagraph"/>
        <w:numPr>
          <w:ilvl w:val="0"/>
          <w:numId w:val="14"/>
        </w:numPr>
        <w:tabs>
          <w:tab w:pos="1171" w:val="left" w:leader="none"/>
          <w:tab w:pos="1173" w:val="left" w:leader="none"/>
        </w:tabs>
        <w:spacing w:line="242" w:lineRule="auto" w:before="222" w:after="0"/>
        <w:ind w:left="1173" w:right="143" w:hanging="812"/>
        <w:jc w:val="both"/>
        <w:rPr>
          <w:sz w:val="20"/>
        </w:rPr>
      </w:pPr>
      <w:r>
        <w:rPr>
          <w:sz w:val="20"/>
        </w:rPr>
        <w:t>Para los sistemas de protección civil en los Estados y el Distrito Federal, siempre y cuando las aportaciones federales destinadas a este rubro sean adicionales a los recursos de naturaleza local aprobados por las legislaturas locales en dicha materia;</w:t>
      </w:r>
    </w:p>
    <w:p>
      <w:pPr>
        <w:pStyle w:val="ListParagraph"/>
        <w:numPr>
          <w:ilvl w:val="0"/>
          <w:numId w:val="14"/>
        </w:numPr>
        <w:tabs>
          <w:tab w:pos="1171" w:val="left" w:leader="none"/>
          <w:tab w:pos="1173" w:val="left" w:leader="none"/>
        </w:tabs>
        <w:spacing w:line="240" w:lineRule="auto" w:before="225" w:after="0"/>
        <w:ind w:left="1173" w:right="143" w:hanging="812"/>
        <w:jc w:val="both"/>
        <w:rPr>
          <w:sz w:val="20"/>
        </w:rPr>
      </w:pPr>
      <w:r>
        <w:rPr>
          <w:sz w:val="20"/>
        </w:rPr>
        <w:t>Para</w:t>
      </w:r>
      <w:r>
        <w:rPr>
          <w:spacing w:val="-2"/>
          <w:sz w:val="20"/>
        </w:rPr>
        <w:t> </w:t>
      </w:r>
      <w:r>
        <w:rPr>
          <w:sz w:val="20"/>
        </w:rPr>
        <w:t>apoyar</w:t>
      </w:r>
      <w:r>
        <w:rPr>
          <w:spacing w:val="-1"/>
          <w:sz w:val="20"/>
        </w:rPr>
        <w:t> </w:t>
      </w:r>
      <w:r>
        <w:rPr>
          <w:sz w:val="20"/>
        </w:rPr>
        <w:t>la</w:t>
      </w:r>
      <w:r>
        <w:rPr>
          <w:spacing w:val="-4"/>
          <w:sz w:val="20"/>
        </w:rPr>
        <w:t> </w:t>
      </w:r>
      <w:r>
        <w:rPr>
          <w:sz w:val="20"/>
        </w:rPr>
        <w:t>educación</w:t>
      </w:r>
      <w:r>
        <w:rPr>
          <w:spacing w:val="-2"/>
          <w:sz w:val="20"/>
        </w:rPr>
        <w:t> </w:t>
      </w:r>
      <w:r>
        <w:rPr>
          <w:sz w:val="20"/>
        </w:rPr>
        <w:t>pública,</w:t>
      </w:r>
      <w:r>
        <w:rPr>
          <w:spacing w:val="-4"/>
          <w:sz w:val="20"/>
        </w:rPr>
        <w:t> </w:t>
      </w:r>
      <w:r>
        <w:rPr>
          <w:sz w:val="20"/>
        </w:rPr>
        <w:t>siempre</w:t>
      </w:r>
      <w:r>
        <w:rPr>
          <w:spacing w:val="-2"/>
          <w:sz w:val="20"/>
        </w:rPr>
        <w:t> </w:t>
      </w:r>
      <w:r>
        <w:rPr>
          <w:sz w:val="20"/>
        </w:rPr>
        <w:t>y</w:t>
      </w:r>
      <w:r>
        <w:rPr>
          <w:spacing w:val="-3"/>
          <w:sz w:val="20"/>
        </w:rPr>
        <w:t> </w:t>
      </w:r>
      <w:r>
        <w:rPr>
          <w:sz w:val="20"/>
        </w:rPr>
        <w:t>cuando</w:t>
      </w:r>
      <w:r>
        <w:rPr>
          <w:spacing w:val="-2"/>
          <w:sz w:val="20"/>
        </w:rPr>
        <w:t> </w:t>
      </w:r>
      <w:r>
        <w:rPr>
          <w:sz w:val="20"/>
        </w:rPr>
        <w:t>las</w:t>
      </w:r>
      <w:r>
        <w:rPr>
          <w:spacing w:val="-3"/>
          <w:sz w:val="20"/>
        </w:rPr>
        <w:t> </w:t>
      </w:r>
      <w:r>
        <w:rPr>
          <w:sz w:val="20"/>
        </w:rPr>
        <w:t>aportaciones</w:t>
      </w:r>
      <w:r>
        <w:rPr>
          <w:spacing w:val="-3"/>
          <w:sz w:val="20"/>
        </w:rPr>
        <w:t> </w:t>
      </w:r>
      <w:r>
        <w:rPr>
          <w:sz w:val="20"/>
        </w:rPr>
        <w:t>federales</w:t>
      </w:r>
      <w:r>
        <w:rPr>
          <w:spacing w:val="-3"/>
          <w:sz w:val="20"/>
        </w:rPr>
        <w:t> </w:t>
      </w:r>
      <w:r>
        <w:rPr>
          <w:sz w:val="20"/>
        </w:rPr>
        <w:t>destinadas</w:t>
      </w:r>
      <w:r>
        <w:rPr>
          <w:spacing w:val="-1"/>
          <w:sz w:val="20"/>
        </w:rPr>
        <w:t> </w:t>
      </w:r>
      <w:r>
        <w:rPr>
          <w:sz w:val="20"/>
        </w:rPr>
        <w:t>a este</w:t>
      </w:r>
      <w:r>
        <w:rPr>
          <w:spacing w:val="-2"/>
          <w:sz w:val="20"/>
        </w:rPr>
        <w:t> </w:t>
      </w:r>
      <w:r>
        <w:rPr>
          <w:sz w:val="20"/>
        </w:rPr>
        <w:t>rubro</w:t>
      </w:r>
      <w:r>
        <w:rPr>
          <w:spacing w:val="-2"/>
          <w:sz w:val="20"/>
        </w:rPr>
        <w:t> </w:t>
      </w:r>
      <w:r>
        <w:rPr>
          <w:sz w:val="20"/>
        </w:rPr>
        <w:t>sean adicionales</w:t>
      </w:r>
      <w:r>
        <w:rPr>
          <w:spacing w:val="-1"/>
          <w:sz w:val="20"/>
        </w:rPr>
        <w:t> </w:t>
      </w:r>
      <w:r>
        <w:rPr>
          <w:sz w:val="20"/>
        </w:rPr>
        <w:t>a</w:t>
      </w:r>
      <w:r>
        <w:rPr>
          <w:spacing w:val="-2"/>
          <w:sz w:val="20"/>
        </w:rPr>
        <w:t> </w:t>
      </w:r>
      <w:r>
        <w:rPr>
          <w:sz w:val="20"/>
        </w:rPr>
        <w:t>los</w:t>
      </w:r>
      <w:r>
        <w:rPr>
          <w:spacing w:val="-1"/>
          <w:sz w:val="20"/>
        </w:rPr>
        <w:t> </w:t>
      </w:r>
      <w:r>
        <w:rPr>
          <w:sz w:val="20"/>
        </w:rPr>
        <w:t>recursos</w:t>
      </w:r>
      <w:r>
        <w:rPr>
          <w:spacing w:val="-1"/>
          <w:sz w:val="20"/>
        </w:rPr>
        <w:t> </w:t>
      </w:r>
      <w:r>
        <w:rPr>
          <w:sz w:val="20"/>
        </w:rPr>
        <w:t>de</w:t>
      </w:r>
      <w:r>
        <w:rPr>
          <w:spacing w:val="-3"/>
          <w:sz w:val="20"/>
        </w:rPr>
        <w:t> </w:t>
      </w:r>
      <w:r>
        <w:rPr>
          <w:sz w:val="20"/>
        </w:rPr>
        <w:t>naturaleza local</w:t>
      </w:r>
      <w:r>
        <w:rPr>
          <w:spacing w:val="-3"/>
          <w:sz w:val="20"/>
        </w:rPr>
        <w:t> </w:t>
      </w:r>
      <w:r>
        <w:rPr>
          <w:sz w:val="20"/>
        </w:rPr>
        <w:t>aprobados</w:t>
      </w:r>
      <w:r>
        <w:rPr>
          <w:spacing w:val="-1"/>
          <w:sz w:val="20"/>
        </w:rPr>
        <w:t> </w:t>
      </w:r>
      <w:r>
        <w:rPr>
          <w:sz w:val="20"/>
        </w:rPr>
        <w:t>por las legislaturas locales para dicha</w:t>
      </w:r>
      <w:r>
        <w:rPr>
          <w:spacing w:val="-1"/>
          <w:sz w:val="20"/>
        </w:rPr>
        <w:t> </w:t>
      </w:r>
      <w:r>
        <w:rPr>
          <w:sz w:val="20"/>
        </w:rPr>
        <w:t>materia y</w:t>
      </w:r>
      <w:r>
        <w:rPr>
          <w:spacing w:val="-2"/>
          <w:sz w:val="20"/>
        </w:rPr>
        <w:t> </w:t>
      </w:r>
      <w:r>
        <w:rPr>
          <w:sz w:val="20"/>
        </w:rPr>
        <w:t>que</w:t>
      </w:r>
      <w:r>
        <w:rPr>
          <w:spacing w:val="-1"/>
          <w:sz w:val="20"/>
        </w:rPr>
        <w:t> </w:t>
      </w:r>
      <w:r>
        <w:rPr>
          <w:sz w:val="20"/>
        </w:rPr>
        <w:t>el</w:t>
      </w:r>
      <w:r>
        <w:rPr>
          <w:spacing w:val="-2"/>
          <w:sz w:val="20"/>
        </w:rPr>
        <w:t> </w:t>
      </w:r>
      <w:r>
        <w:rPr>
          <w:sz w:val="20"/>
        </w:rPr>
        <w:t>monto</w:t>
      </w:r>
      <w:r>
        <w:rPr>
          <w:spacing w:val="-1"/>
          <w:sz w:val="20"/>
        </w:rPr>
        <w:t> </w:t>
      </w:r>
      <w:r>
        <w:rPr>
          <w:sz w:val="20"/>
        </w:rPr>
        <w:t>de los recursos locales se incremente en</w:t>
      </w:r>
      <w:r>
        <w:rPr>
          <w:spacing w:val="-2"/>
          <w:sz w:val="20"/>
        </w:rPr>
        <w:t> </w:t>
      </w:r>
      <w:r>
        <w:rPr>
          <w:sz w:val="20"/>
        </w:rPr>
        <w:t>términos reales respecto al presupuestado en el año inmediato anterior, y</w:t>
      </w:r>
    </w:p>
    <w:p>
      <w:pPr>
        <w:pStyle w:val="BodyText"/>
      </w:pPr>
    </w:p>
    <w:p>
      <w:pPr>
        <w:pStyle w:val="ListParagraph"/>
        <w:numPr>
          <w:ilvl w:val="0"/>
          <w:numId w:val="14"/>
        </w:numPr>
        <w:tabs>
          <w:tab w:pos="1171" w:val="left" w:leader="none"/>
          <w:tab w:pos="1173" w:val="left" w:leader="none"/>
        </w:tabs>
        <w:spacing w:line="240" w:lineRule="auto" w:before="0" w:after="0"/>
        <w:ind w:left="1173" w:right="145" w:hanging="812"/>
        <w:jc w:val="both"/>
        <w:rPr>
          <w:sz w:val="20"/>
        </w:rPr>
      </w:pPr>
      <w:r>
        <w:rPr>
          <w:sz w:val="20"/>
        </w:rPr>
        <w:t>Para destinarlas a fondos constituidos por los Estados y el Distrito Federal para apoyar proyectos de infraestructura concesionada o aquéllos donde se combinen recursos públicos y privados; al pago de obras públicas de infraestructura que sean susceptibles de complementarse con inversión privada, en forma inmediata o futura, así como a estudios, proyectos,</w:t>
      </w:r>
      <w:r>
        <w:rPr>
          <w:spacing w:val="-2"/>
          <w:sz w:val="20"/>
        </w:rPr>
        <w:t> </w:t>
      </w:r>
      <w:r>
        <w:rPr>
          <w:sz w:val="20"/>
        </w:rPr>
        <w:t>supervisión, liberación del derecho de vía, y</w:t>
      </w:r>
      <w:r>
        <w:rPr>
          <w:spacing w:val="-3"/>
          <w:sz w:val="20"/>
        </w:rPr>
        <w:t> </w:t>
      </w:r>
      <w:r>
        <w:rPr>
          <w:sz w:val="20"/>
        </w:rPr>
        <w:t>otros bienes y</w:t>
      </w:r>
      <w:r>
        <w:rPr>
          <w:spacing w:val="-5"/>
          <w:sz w:val="20"/>
        </w:rPr>
        <w:t> </w:t>
      </w:r>
      <w:r>
        <w:rPr>
          <w:sz w:val="20"/>
        </w:rPr>
        <w:t>servicios relacionados con las mismas.</w:t>
      </w:r>
    </w:p>
    <w:p>
      <w:pPr>
        <w:pStyle w:val="BodyText"/>
        <w:spacing w:before="3"/>
      </w:pPr>
    </w:p>
    <w:p>
      <w:pPr>
        <w:pStyle w:val="BodyText"/>
        <w:ind w:left="1" w:right="145" w:firstLine="288"/>
        <w:jc w:val="both"/>
      </w:pPr>
      <w:r>
        <w:rPr/>
        <w:t>Los recursos del Fondo de Aportaciones para el Fortalecimiento de las Entidades Federativas, tienen por objeto fortalecer los presupuestos de las mismas y a las regiones que conforman. Para este fin y</w:t>
      </w:r>
      <w:r>
        <w:rPr>
          <w:spacing w:val="-2"/>
        </w:rPr>
        <w:t> </w:t>
      </w:r>
      <w:r>
        <w:rPr/>
        <w:t>con las mismas restricciones, las Entidades Federativas podrán convenir entre ellas o con el Gobierno Federal, la aplicación de estos recursos, los que no podrán destinarse para erogaciones de gasto corriente o de operación, salvo en los casos previstos expresamente en las fracciones anteriores. Las Entidades Federativas deberán presentar a la Secretaría de Hacienda y Crédito Público un informe trimestral detallado sobre la aplicación de los recursos a más tardar 20 días naturales después de terminado el trimestre.</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2006</w:t>
      </w:r>
    </w:p>
    <w:p>
      <w:pPr>
        <w:pStyle w:val="BodyText"/>
        <w:spacing w:before="47"/>
        <w:rPr>
          <w:rFonts w:ascii="Times New Roman"/>
          <w:i/>
          <w:sz w:val="16"/>
        </w:rPr>
      </w:pPr>
    </w:p>
    <w:p>
      <w:pPr>
        <w:pStyle w:val="BodyText"/>
        <w:ind w:left="1" w:right="149" w:firstLine="288"/>
        <w:jc w:val="both"/>
      </w:pPr>
      <w:bookmarkStart w:name="Artículo_48" w:id="63"/>
      <w:bookmarkEnd w:id="63"/>
      <w:r>
        <w:rPr/>
      </w:r>
      <w:r>
        <w:rPr>
          <w:rFonts w:ascii="Arial" w:hAnsi="Arial"/>
          <w:b/>
        </w:rPr>
        <w:t>Artículo 48. </w:t>
      </w:r>
      <w:r>
        <w:rPr/>
        <w:t>Los Estados y el Distrito Federal enviarán al Ejecutivo Federal, por conducto de la Secretaría de Hacienda y Crédito Público, informes sobre el ejercicio y destino de los recursos de los Fondos de Aportaciones Federales a que se refiere este Capítulo.</w:t>
      </w:r>
    </w:p>
    <w:p>
      <w:pPr>
        <w:pStyle w:val="BodyText"/>
        <w:spacing w:before="2"/>
      </w:pPr>
    </w:p>
    <w:p>
      <w:pPr>
        <w:pStyle w:val="BodyText"/>
        <w:ind w:left="1" w:right="145" w:firstLine="288"/>
        <w:jc w:val="both"/>
      </w:pPr>
      <w:r>
        <w:rPr/>
        <w:t>Para los efectos del párrafo anterior, los Estados y el Distrito Federal reportarán tanto la información relativa a la Entidad Federativa, como aquélla de sus respectivos Municipios o Demarcaciones Territoriales para el caso del Distrito Federal, en los Fondos que correspondan, así como los resultados obtenidos; asimismo, remitirán la información consolidada a más tardar a los 20 días naturales</w:t>
      </w:r>
      <w:r>
        <w:rPr>
          <w:spacing w:val="40"/>
        </w:rPr>
        <w:t> </w:t>
      </w:r>
      <w:r>
        <w:rPr/>
        <w:t>posteriores a la terminación de cada trimestre del ejercicio fiscal.</w:t>
      </w:r>
    </w:p>
    <w:p>
      <w:pPr>
        <w:pStyle w:val="BodyText"/>
      </w:pPr>
    </w:p>
    <w:p>
      <w:pPr>
        <w:pStyle w:val="BodyText"/>
        <w:spacing w:before="1"/>
        <w:ind w:left="1" w:right="139" w:firstLine="288"/>
        <w:jc w:val="both"/>
      </w:pPr>
      <w:r>
        <w:rPr/>
        <w:t>La Secretaría de Hacienda y Crédito Público incluirá los reportes señalados en el párrafo anterior, por Entidad Federativa, en los informes trimestrales que deben entregarse al Congreso de la Unión en los términos del artículo 107, fracción I, de la Ley Federal de Presupuesto y Responsabilidad Hacendaria; asimismo, pondrá dicha información a disposición para consulta en su página electrónica de Internet, la cual</w:t>
      </w:r>
      <w:r>
        <w:rPr>
          <w:spacing w:val="-2"/>
        </w:rPr>
        <w:t> </w:t>
      </w:r>
      <w:r>
        <w:rPr/>
        <w:t>deberá</w:t>
      </w:r>
      <w:r>
        <w:rPr>
          <w:spacing w:val="-1"/>
        </w:rPr>
        <w:t> </w:t>
      </w:r>
      <w:r>
        <w:rPr/>
        <w:t>actualizar</w:t>
      </w:r>
      <w:r>
        <w:rPr>
          <w:spacing w:val="-1"/>
        </w:rPr>
        <w:t> </w:t>
      </w:r>
      <w:r>
        <w:rPr/>
        <w:t>a</w:t>
      </w:r>
      <w:r>
        <w:rPr>
          <w:spacing w:val="-1"/>
        </w:rPr>
        <w:t> </w:t>
      </w:r>
      <w:r>
        <w:rPr/>
        <w:t>más tardar en</w:t>
      </w:r>
      <w:r>
        <w:rPr>
          <w:spacing w:val="-1"/>
        </w:rPr>
        <w:t> </w:t>
      </w:r>
      <w:r>
        <w:rPr/>
        <w:t>la</w:t>
      </w:r>
      <w:r>
        <w:rPr>
          <w:spacing w:val="-1"/>
        </w:rPr>
        <w:t> </w:t>
      </w:r>
      <w:r>
        <w:rPr/>
        <w:t>fecha</w:t>
      </w:r>
      <w:r>
        <w:rPr>
          <w:spacing w:val="-2"/>
        </w:rPr>
        <w:t> </w:t>
      </w:r>
      <w:r>
        <w:rPr/>
        <w:t>en</w:t>
      </w:r>
      <w:r>
        <w:rPr>
          <w:spacing w:val="-1"/>
        </w:rPr>
        <w:t> </w:t>
      </w:r>
      <w:r>
        <w:rPr/>
        <w:t>que</w:t>
      </w:r>
      <w:r>
        <w:rPr>
          <w:spacing w:val="-1"/>
        </w:rPr>
        <w:t> </w:t>
      </w:r>
      <w:r>
        <w:rPr/>
        <w:t>el Ejecutivo</w:t>
      </w:r>
      <w:r>
        <w:rPr>
          <w:spacing w:val="-1"/>
        </w:rPr>
        <w:t> </w:t>
      </w:r>
      <w:r>
        <w:rPr/>
        <w:t>Federal entregue los citados informes.</w:t>
      </w:r>
    </w:p>
    <w:p>
      <w:pPr>
        <w:pStyle w:val="BodyText"/>
        <w:spacing w:before="230"/>
        <w:ind w:left="1" w:right="146" w:firstLine="288"/>
        <w:jc w:val="both"/>
      </w:pPr>
      <w:r>
        <w:rPr/>
        <w:t>Los Estados, el Distrito Federal, los Municipios y las Demarcaciones Territoriales del Distrito Federal, publicarán</w:t>
      </w:r>
      <w:r>
        <w:rPr>
          <w:spacing w:val="-1"/>
        </w:rPr>
        <w:t> </w:t>
      </w:r>
      <w:r>
        <w:rPr/>
        <w:t>los informes a</w:t>
      </w:r>
      <w:r>
        <w:rPr>
          <w:spacing w:val="-1"/>
        </w:rPr>
        <w:t> </w:t>
      </w:r>
      <w:r>
        <w:rPr/>
        <w:t>que</w:t>
      </w:r>
      <w:r>
        <w:rPr>
          <w:spacing w:val="-2"/>
        </w:rPr>
        <w:t> </w:t>
      </w:r>
      <w:r>
        <w:rPr/>
        <w:t>se</w:t>
      </w:r>
      <w:r>
        <w:rPr>
          <w:spacing w:val="-1"/>
        </w:rPr>
        <w:t> </w:t>
      </w:r>
      <w:r>
        <w:rPr/>
        <w:t>refiere</w:t>
      </w:r>
      <w:r>
        <w:rPr>
          <w:spacing w:val="-1"/>
        </w:rPr>
        <w:t> </w:t>
      </w:r>
      <w:r>
        <w:rPr/>
        <w:t>el</w:t>
      </w:r>
      <w:r>
        <w:rPr>
          <w:spacing w:val="-2"/>
        </w:rPr>
        <w:t> </w:t>
      </w:r>
      <w:r>
        <w:rPr/>
        <w:t>párrafo</w:t>
      </w:r>
      <w:r>
        <w:rPr>
          <w:spacing w:val="-1"/>
        </w:rPr>
        <w:t> </w:t>
      </w:r>
      <w:r>
        <w:rPr/>
        <w:t>primero</w:t>
      </w:r>
      <w:r>
        <w:rPr>
          <w:spacing w:val="-1"/>
        </w:rPr>
        <w:t> </w:t>
      </w:r>
      <w:r>
        <w:rPr/>
        <w:t>de</w:t>
      </w:r>
      <w:r>
        <w:rPr>
          <w:spacing w:val="-2"/>
        </w:rPr>
        <w:t> </w:t>
      </w:r>
      <w:r>
        <w:rPr/>
        <w:t>este</w:t>
      </w:r>
      <w:r>
        <w:rPr>
          <w:spacing w:val="-1"/>
        </w:rPr>
        <w:t> </w:t>
      </w:r>
      <w:r>
        <w:rPr/>
        <w:t>artículo</w:t>
      </w:r>
      <w:r>
        <w:rPr>
          <w:spacing w:val="-1"/>
        </w:rPr>
        <w:t> </w:t>
      </w:r>
      <w:r>
        <w:rPr/>
        <w:t>en</w:t>
      </w:r>
      <w:r>
        <w:rPr>
          <w:spacing w:val="-2"/>
        </w:rPr>
        <w:t> </w:t>
      </w:r>
      <w:r>
        <w:rPr/>
        <w:t>los órganos locales oficiales</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right="141"/>
        <w:jc w:val="both"/>
      </w:pPr>
      <w:r>
        <w:rPr/>
        <w:t>de difusión y los pondrán a disposición del público en general a través de sus respectivas páginas electrónicas de Internet o de otros medios locales de difusión, a más tardar a los 5 días hábiles posteriores a la fecha señalada en el párrafo anterior.</w:t>
      </w:r>
    </w:p>
    <w:p>
      <w:pPr>
        <w:pStyle w:val="BodyText"/>
      </w:pPr>
    </w:p>
    <w:p>
      <w:pPr>
        <w:pStyle w:val="BodyText"/>
        <w:ind w:left="1" w:right="139" w:firstLine="288"/>
        <w:jc w:val="both"/>
      </w:pPr>
      <w:r>
        <w:rPr/>
        <w:t>Las entidades federativas enterarán al ente ejecutor local del gasto, el presupuesto que le</w:t>
      </w:r>
      <w:r>
        <w:rPr>
          <w:spacing w:val="40"/>
        </w:rPr>
        <w:t> </w:t>
      </w:r>
      <w:r>
        <w:rPr/>
        <w:t>corresponda en un máximo de cinco días hábiles, una vez recibida la ministración correspondiente de cada uno de los Fondos contemplados en el Capítulo V del presente ordenamiento.</w:t>
      </w:r>
    </w:p>
    <w:p>
      <w:pPr>
        <w:spacing w:before="0"/>
        <w:ind w:left="6967" w:right="138"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09-12-2013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2006</w:t>
      </w:r>
    </w:p>
    <w:p>
      <w:pPr>
        <w:pStyle w:val="BodyText"/>
        <w:spacing w:before="44"/>
        <w:rPr>
          <w:rFonts w:ascii="Times New Roman"/>
          <w:i/>
          <w:sz w:val="16"/>
        </w:rPr>
      </w:pPr>
    </w:p>
    <w:p>
      <w:pPr>
        <w:pStyle w:val="BodyText"/>
        <w:ind w:left="1" w:right="145" w:firstLine="288"/>
        <w:jc w:val="both"/>
      </w:pPr>
      <w:bookmarkStart w:name="Artículo_49" w:id="64"/>
      <w:bookmarkEnd w:id="64"/>
      <w:r>
        <w:rPr/>
      </w:r>
      <w:r>
        <w:rPr>
          <w:rFonts w:ascii="Arial" w:hAnsi="Arial"/>
          <w:b/>
        </w:rPr>
        <w:t>Artículo 49. </w:t>
      </w:r>
      <w:r>
        <w:rPr/>
        <w:t>Las aportaciones y sus accesorios que con cargo a los Fondos a que se refiere este Capítulo reciban las entidades y, en su caso, los municipios las alcaldías de la Ciudad de México, no serán embargables, ni los gobiernos correspondientes podrán, bajo ninguna circunstancia, gravarlas ni afectarlas en garantía o destinarse a mecanismos de fuente de pago, salvo por lo dispuesto en los artículos 50, 51 y 52 de esta Ley. Dichas aportaciones y sus accesorios, en ningún caso podrán destinarse</w:t>
      </w:r>
      <w:r>
        <w:rPr>
          <w:spacing w:val="-3"/>
        </w:rPr>
        <w:t> </w:t>
      </w:r>
      <w:r>
        <w:rPr/>
        <w:t>a</w:t>
      </w:r>
      <w:r>
        <w:rPr>
          <w:spacing w:val="-4"/>
        </w:rPr>
        <w:t> </w:t>
      </w:r>
      <w:r>
        <w:rPr/>
        <w:t>fines</w:t>
      </w:r>
      <w:r>
        <w:rPr>
          <w:spacing w:val="-2"/>
        </w:rPr>
        <w:t> </w:t>
      </w:r>
      <w:r>
        <w:rPr/>
        <w:t>distintos a</w:t>
      </w:r>
      <w:r>
        <w:rPr>
          <w:spacing w:val="-3"/>
        </w:rPr>
        <w:t> </w:t>
      </w:r>
      <w:r>
        <w:rPr/>
        <w:t>los expresamente</w:t>
      </w:r>
      <w:r>
        <w:rPr>
          <w:spacing w:val="-4"/>
        </w:rPr>
        <w:t> </w:t>
      </w:r>
      <w:r>
        <w:rPr/>
        <w:t>previstos</w:t>
      </w:r>
      <w:r>
        <w:rPr>
          <w:spacing w:val="-2"/>
        </w:rPr>
        <w:t> </w:t>
      </w:r>
      <w:r>
        <w:rPr/>
        <w:t>en</w:t>
      </w:r>
      <w:r>
        <w:rPr>
          <w:spacing w:val="-2"/>
        </w:rPr>
        <w:t> </w:t>
      </w:r>
      <w:r>
        <w:rPr/>
        <w:t>los</w:t>
      </w:r>
      <w:r>
        <w:rPr>
          <w:spacing w:val="-2"/>
        </w:rPr>
        <w:t> </w:t>
      </w:r>
      <w:r>
        <w:rPr/>
        <w:t>artículos</w:t>
      </w:r>
      <w:r>
        <w:rPr>
          <w:spacing w:val="-2"/>
        </w:rPr>
        <w:t> </w:t>
      </w:r>
      <w:r>
        <w:rPr/>
        <w:t>26,</w:t>
      </w:r>
      <w:r>
        <w:rPr>
          <w:spacing w:val="-3"/>
        </w:rPr>
        <w:t> </w:t>
      </w:r>
      <w:r>
        <w:rPr/>
        <w:t>29,</w:t>
      </w:r>
      <w:r>
        <w:rPr>
          <w:spacing w:val="-3"/>
        </w:rPr>
        <w:t> </w:t>
      </w:r>
      <w:r>
        <w:rPr/>
        <w:t>33,</w:t>
      </w:r>
      <w:r>
        <w:rPr>
          <w:spacing w:val="-3"/>
        </w:rPr>
        <w:t> </w:t>
      </w:r>
      <w:r>
        <w:rPr/>
        <w:t>37,</w:t>
      </w:r>
      <w:r>
        <w:rPr>
          <w:spacing w:val="-3"/>
        </w:rPr>
        <w:t> </w:t>
      </w:r>
      <w:r>
        <w:rPr/>
        <w:t>40,</w:t>
      </w:r>
      <w:r>
        <w:rPr>
          <w:spacing w:val="-3"/>
        </w:rPr>
        <w:t> </w:t>
      </w:r>
      <w:r>
        <w:rPr/>
        <w:t>42,</w:t>
      </w:r>
      <w:r>
        <w:rPr>
          <w:spacing w:val="-3"/>
        </w:rPr>
        <w:t> </w:t>
      </w:r>
      <w:r>
        <w:rPr/>
        <w:t>45,</w:t>
      </w:r>
      <w:r>
        <w:rPr>
          <w:spacing w:val="-3"/>
        </w:rPr>
        <w:t> </w:t>
      </w:r>
      <w:r>
        <w:rPr/>
        <w:t>47,</w:t>
      </w:r>
      <w:r>
        <w:rPr>
          <w:spacing w:val="-3"/>
        </w:rPr>
        <w:t> </w:t>
      </w:r>
      <w:r>
        <w:rPr/>
        <w:t>así como lo dispuesto en el presente artículo de esta Ley.</w:t>
      </w:r>
    </w:p>
    <w:p>
      <w:pPr>
        <w:spacing w:line="183" w:lineRule="exact" w:before="0"/>
        <w:ind w:left="537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21-12-2007,</w:t>
      </w:r>
      <w:r>
        <w:rPr>
          <w:rFonts w:ascii="Times New Roman" w:hAnsi="Times New Roman"/>
          <w:i/>
          <w:color w:val="0000FF"/>
          <w:spacing w:val="-9"/>
          <w:sz w:val="16"/>
        </w:rPr>
        <w:t> </w:t>
      </w:r>
      <w:r>
        <w:rPr>
          <w:rFonts w:ascii="Times New Roman" w:hAnsi="Times New Roman"/>
          <w:i/>
          <w:color w:val="0000FF"/>
          <w:sz w:val="16"/>
        </w:rPr>
        <w:t>09-12-2013,</w:t>
      </w:r>
      <w:r>
        <w:rPr>
          <w:rFonts w:ascii="Times New Roman" w:hAnsi="Times New Roman"/>
          <w:i/>
          <w:color w:val="0000FF"/>
          <w:spacing w:val="-9"/>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 w:right="145" w:firstLine="288"/>
        <w:jc w:val="both"/>
      </w:pPr>
      <w:r>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 salvo en el caso de los recursos para el pago de servicios personales previsto en el Fondo de Aportaciones para la Nómina Educativa y</w:t>
      </w:r>
      <w:r>
        <w:rPr>
          <w:spacing w:val="-2"/>
        </w:rPr>
        <w:t> </w:t>
      </w:r>
      <w:r>
        <w:rPr/>
        <w:t>Gasto Operativo, en el cual se observará lo dispuesto en el artículo 26 de esta Ley. En todos los casos deberán registrarlas como ingresos que deberán destinarse específicamente a los fines establecidos en los artículos citados en el párrafo anterior.</w:t>
      </w:r>
    </w:p>
    <w:p>
      <w:pPr>
        <w:spacing w:line="182" w:lineRule="exact" w:before="0"/>
        <w:ind w:left="620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09-12-2013,</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 w:right="149" w:firstLine="288"/>
        <w:jc w:val="both"/>
      </w:pPr>
      <w:r>
        <w:rPr/>
        <w:t>Para efectos del entero de los Fondos de Aportaciones a que se refiere el artículo 25 de esta Ley, salvo por lo dispuesto en el artículo 52 de este capítulo, no procederán los anticipos a que se refiere el segundo párrafo del artículo 7o. de la misma.</w:t>
      </w:r>
    </w:p>
    <w:p>
      <w:pPr>
        <w:spacing w:line="183" w:lineRule="exact" w:before="0"/>
        <w:ind w:left="698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 w:firstLine="288"/>
      </w:pPr>
      <w:r>
        <w:rPr/>
        <w:t>El</w:t>
      </w:r>
      <w:r>
        <w:rPr>
          <w:spacing w:val="30"/>
        </w:rPr>
        <w:t> </w:t>
      </w:r>
      <w:r>
        <w:rPr/>
        <w:t>control,</w:t>
      </w:r>
      <w:r>
        <w:rPr>
          <w:spacing w:val="31"/>
        </w:rPr>
        <w:t> </w:t>
      </w:r>
      <w:r>
        <w:rPr/>
        <w:t>la</w:t>
      </w:r>
      <w:r>
        <w:rPr>
          <w:spacing w:val="30"/>
        </w:rPr>
        <w:t> </w:t>
      </w:r>
      <w:r>
        <w:rPr/>
        <w:t>evaluación</w:t>
      </w:r>
      <w:r>
        <w:rPr>
          <w:spacing w:val="35"/>
        </w:rPr>
        <w:t> </w:t>
      </w:r>
      <w:r>
        <w:rPr/>
        <w:t>y</w:t>
      </w:r>
      <w:r>
        <w:rPr>
          <w:spacing w:val="27"/>
        </w:rPr>
        <w:t> </w:t>
      </w:r>
      <w:r>
        <w:rPr/>
        <w:t>fiscalización</w:t>
      </w:r>
      <w:r>
        <w:rPr>
          <w:spacing w:val="31"/>
        </w:rPr>
        <w:t> </w:t>
      </w:r>
      <w:r>
        <w:rPr/>
        <w:t>del</w:t>
      </w:r>
      <w:r>
        <w:rPr>
          <w:spacing w:val="28"/>
        </w:rPr>
        <w:t> </w:t>
      </w:r>
      <w:r>
        <w:rPr/>
        <w:t>manejo</w:t>
      </w:r>
      <w:r>
        <w:rPr>
          <w:spacing w:val="31"/>
        </w:rPr>
        <w:t> </w:t>
      </w:r>
      <w:r>
        <w:rPr/>
        <w:t>de</w:t>
      </w:r>
      <w:r>
        <w:rPr>
          <w:spacing w:val="30"/>
        </w:rPr>
        <w:t> </w:t>
      </w:r>
      <w:r>
        <w:rPr/>
        <w:t>los</w:t>
      </w:r>
      <w:r>
        <w:rPr>
          <w:spacing w:val="29"/>
        </w:rPr>
        <w:t> </w:t>
      </w:r>
      <w:r>
        <w:rPr/>
        <w:t>recursos</w:t>
      </w:r>
      <w:r>
        <w:rPr>
          <w:spacing w:val="29"/>
        </w:rPr>
        <w:t> </w:t>
      </w:r>
      <w:r>
        <w:rPr/>
        <w:t>federales</w:t>
      </w:r>
      <w:r>
        <w:rPr>
          <w:spacing w:val="32"/>
        </w:rPr>
        <w:t> </w:t>
      </w:r>
      <w:r>
        <w:rPr/>
        <w:t>a</w:t>
      </w:r>
      <w:r>
        <w:rPr>
          <w:spacing w:val="28"/>
        </w:rPr>
        <w:t> </w:t>
      </w:r>
      <w:r>
        <w:rPr/>
        <w:t>que</w:t>
      </w:r>
      <w:r>
        <w:rPr>
          <w:spacing w:val="28"/>
        </w:rPr>
        <w:t> </w:t>
      </w:r>
      <w:r>
        <w:rPr/>
        <w:t>se</w:t>
      </w:r>
      <w:r>
        <w:rPr>
          <w:spacing w:val="30"/>
        </w:rPr>
        <w:t> </w:t>
      </w:r>
      <w:r>
        <w:rPr/>
        <w:t>refiere</w:t>
      </w:r>
      <w:r>
        <w:rPr>
          <w:spacing w:val="31"/>
        </w:rPr>
        <w:t> </w:t>
      </w:r>
      <w:r>
        <w:rPr/>
        <w:t>este Capítulo quedará a cargo de las siguientes autoridades, en las etapas que se indican:</w:t>
      </w:r>
    </w:p>
    <w:p>
      <w:pPr>
        <w:spacing w:line="182" w:lineRule="exact" w:before="0"/>
        <w:ind w:left="703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01-10-</w:t>
      </w:r>
      <w:r>
        <w:rPr>
          <w:rFonts w:ascii="Times New Roman" w:hAnsi="Times New Roman"/>
          <w:i/>
          <w:color w:val="0000FF"/>
          <w:spacing w:val="-4"/>
          <w:sz w:val="16"/>
        </w:rPr>
        <w:t>2007</w:t>
      </w:r>
    </w:p>
    <w:p>
      <w:pPr>
        <w:pStyle w:val="BodyText"/>
        <w:spacing w:before="45"/>
        <w:rPr>
          <w:rFonts w:ascii="Times New Roman"/>
          <w:i/>
          <w:sz w:val="16"/>
        </w:rPr>
      </w:pPr>
    </w:p>
    <w:p>
      <w:pPr>
        <w:pStyle w:val="BodyText"/>
        <w:tabs>
          <w:tab w:pos="1172" w:val="left" w:leader="none"/>
        </w:tabs>
        <w:spacing w:line="242" w:lineRule="auto"/>
        <w:ind w:left="1173" w:right="144" w:hanging="812"/>
        <w:jc w:val="both"/>
      </w:pPr>
      <w:r>
        <w:rPr>
          <w:rFonts w:ascii="Arial" w:hAnsi="Arial"/>
          <w:b/>
          <w:spacing w:val="-4"/>
        </w:rPr>
        <w:t>I.-</w:t>
      </w:r>
      <w:r>
        <w:rPr>
          <w:rFonts w:ascii="Arial" w:hAnsi="Arial"/>
          <w:b/>
        </w:rPr>
        <w:tab/>
      </w:r>
      <w:r>
        <w:rPr/>
        <w:t>Desde</w:t>
      </w:r>
      <w:r>
        <w:rPr>
          <w:spacing w:val="-2"/>
        </w:rPr>
        <w:t> </w:t>
      </w:r>
      <w:r>
        <w:rPr/>
        <w:t>el inicio del</w:t>
      </w:r>
      <w:r>
        <w:rPr>
          <w:spacing w:val="-2"/>
        </w:rPr>
        <w:t> </w:t>
      </w:r>
      <w:r>
        <w:rPr/>
        <w:t>proceso de presupuestación,</w:t>
      </w:r>
      <w:r>
        <w:rPr>
          <w:spacing w:val="-1"/>
        </w:rPr>
        <w:t> </w:t>
      </w:r>
      <w:r>
        <w:rPr/>
        <w:t>en</w:t>
      </w:r>
      <w:r>
        <w:rPr>
          <w:spacing w:val="-1"/>
        </w:rPr>
        <w:t> </w:t>
      </w:r>
      <w:r>
        <w:rPr/>
        <w:t>términos de</w:t>
      </w:r>
      <w:r>
        <w:rPr>
          <w:spacing w:val="-2"/>
        </w:rPr>
        <w:t> </w:t>
      </w:r>
      <w:r>
        <w:rPr/>
        <w:t>la legislación</w:t>
      </w:r>
      <w:r>
        <w:rPr>
          <w:spacing w:val="-1"/>
        </w:rPr>
        <w:t> </w:t>
      </w:r>
      <w:r>
        <w:rPr/>
        <w:t>presupuestaria federal y hasta la entrega de los recursos correspondientes a las Entidades Federativas, corresponderá a la Secretaría de la Función Pública;</w:t>
      </w:r>
    </w:p>
    <w:p>
      <w:pPr>
        <w:pStyle w:val="BodyText"/>
        <w:spacing w:before="225"/>
        <w:ind w:left="1173" w:right="145" w:hanging="812"/>
        <w:jc w:val="both"/>
      </w:pPr>
      <w:r>
        <w:rPr>
          <w:rFonts w:ascii="Arial" w:hAnsi="Arial"/>
          <w:b/>
        </w:rPr>
        <w:t>II.-</w:t>
      </w:r>
      <w:r>
        <w:rPr>
          <w:rFonts w:ascii="Arial" w:hAnsi="Arial"/>
          <w:b/>
          <w:spacing w:val="80"/>
        </w:rPr>
        <w:t>  </w:t>
      </w:r>
      <w:r>
        <w:rPr/>
        <w:t>Recibidos los recursos de los fondos de que se trate por las Entidades Federativas, los Municipios y las Demarcaciones Territoriales del Distrito Federal, hasta su erogación total, corresponderá a las autoridades de control y supervisión interna de los gobiernos locales.</w:t>
      </w:r>
    </w:p>
    <w:p>
      <w:pPr>
        <w:pStyle w:val="BodyText"/>
        <w:spacing w:before="2"/>
      </w:pPr>
    </w:p>
    <w:p>
      <w:pPr>
        <w:pStyle w:val="BodyText"/>
        <w:ind w:left="1173"/>
      </w:pPr>
      <w:r>
        <w:rPr/>
        <w:t>La</w:t>
      </w:r>
      <w:r>
        <w:rPr>
          <w:spacing w:val="40"/>
        </w:rPr>
        <w:t> </w:t>
      </w:r>
      <w:r>
        <w:rPr/>
        <w:t>supervisión</w:t>
      </w:r>
      <w:r>
        <w:rPr>
          <w:spacing w:val="40"/>
        </w:rPr>
        <w:t> </w:t>
      </w:r>
      <w:r>
        <w:rPr/>
        <w:t>y</w:t>
      </w:r>
      <w:r>
        <w:rPr>
          <w:spacing w:val="40"/>
        </w:rPr>
        <w:t> </w:t>
      </w:r>
      <w:r>
        <w:rPr/>
        <w:t>vigilancia</w:t>
      </w:r>
      <w:r>
        <w:rPr>
          <w:spacing w:val="40"/>
        </w:rPr>
        <w:t> </w:t>
      </w:r>
      <w:r>
        <w:rPr/>
        <w:t>no</w:t>
      </w:r>
      <w:r>
        <w:rPr>
          <w:spacing w:val="40"/>
        </w:rPr>
        <w:t> </w:t>
      </w:r>
      <w:r>
        <w:rPr/>
        <w:t>podrán</w:t>
      </w:r>
      <w:r>
        <w:rPr>
          <w:spacing w:val="40"/>
        </w:rPr>
        <w:t> </w:t>
      </w:r>
      <w:r>
        <w:rPr/>
        <w:t>implicar</w:t>
      </w:r>
      <w:r>
        <w:rPr>
          <w:spacing w:val="40"/>
        </w:rPr>
        <w:t> </w:t>
      </w:r>
      <w:r>
        <w:rPr/>
        <w:t>limitaciones</w:t>
      </w:r>
      <w:r>
        <w:rPr>
          <w:spacing w:val="40"/>
        </w:rPr>
        <w:t> </w:t>
      </w:r>
      <w:r>
        <w:rPr/>
        <w:t>ni</w:t>
      </w:r>
      <w:r>
        <w:rPr>
          <w:spacing w:val="40"/>
        </w:rPr>
        <w:t> </w:t>
      </w:r>
      <w:r>
        <w:rPr/>
        <w:t>restricciones,</w:t>
      </w:r>
      <w:r>
        <w:rPr>
          <w:spacing w:val="40"/>
        </w:rPr>
        <w:t> </w:t>
      </w:r>
      <w:r>
        <w:rPr/>
        <w:t>de</w:t>
      </w:r>
      <w:r>
        <w:rPr>
          <w:spacing w:val="40"/>
        </w:rPr>
        <w:t> </w:t>
      </w:r>
      <w:r>
        <w:rPr/>
        <w:t>cualquier índole, en la administración y ejercicio de dichos Fondos;</w:t>
      </w:r>
    </w:p>
    <w:p>
      <w:pPr>
        <w:pStyle w:val="ListParagraph"/>
        <w:numPr>
          <w:ilvl w:val="0"/>
          <w:numId w:val="15"/>
        </w:numPr>
        <w:tabs>
          <w:tab w:pos="1173" w:val="left" w:leader="none"/>
        </w:tabs>
        <w:spacing w:line="240" w:lineRule="auto" w:before="229" w:after="0"/>
        <w:ind w:left="1173" w:right="147" w:hanging="812"/>
        <w:jc w:val="both"/>
        <w:rPr>
          <w:sz w:val="20"/>
        </w:rPr>
      </w:pPr>
      <w:r>
        <w:rPr>
          <w:sz w:val="20"/>
        </w:rPr>
        <w:t>La fiscalización sobre el ejercicio de los recursos de los Fondos a que se refiere el presente Capítulo corresponde a la Auditoría Superior de la Federación en los términos de la Ley de Fiscalización y Rendición de Cuentas de la Federación;</w:t>
      </w:r>
    </w:p>
    <w:p>
      <w:pPr>
        <w:spacing w:line="183" w:lineRule="exact" w:before="0"/>
        <w:ind w:left="6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01-10-2007,</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after="0" w:line="183" w:lineRule="exact"/>
        <w:jc w:val="left"/>
        <w:rPr>
          <w:rFonts w:ascii="Times New Roman" w:hAnsi="Times New Roman"/>
          <w:i/>
          <w:sz w:val="16"/>
        </w:rPr>
        <w:sectPr>
          <w:pgSz w:w="12250" w:h="15850"/>
          <w:pgMar w:header="724" w:footer="712" w:top="1880" w:bottom="900" w:left="1417" w:right="1275"/>
        </w:sectPr>
      </w:pPr>
    </w:p>
    <w:p>
      <w:pPr>
        <w:pStyle w:val="BodyText"/>
        <w:spacing w:before="65"/>
        <w:rPr>
          <w:rFonts w:ascii="Times New Roman"/>
          <w:i/>
        </w:rPr>
      </w:pPr>
    </w:p>
    <w:p>
      <w:pPr>
        <w:pStyle w:val="ListParagraph"/>
        <w:numPr>
          <w:ilvl w:val="0"/>
          <w:numId w:val="15"/>
        </w:numPr>
        <w:tabs>
          <w:tab w:pos="1171" w:val="left" w:leader="none"/>
          <w:tab w:pos="1173" w:val="left" w:leader="none"/>
        </w:tabs>
        <w:spacing w:line="240" w:lineRule="auto" w:before="0" w:after="0"/>
        <w:ind w:left="1173" w:right="138" w:hanging="812"/>
        <w:jc w:val="both"/>
        <w:rPr>
          <w:sz w:val="20"/>
        </w:rPr>
      </w:pPr>
      <w:r>
        <w:rPr>
          <w:sz w:val="20"/>
        </w:rPr>
        <w:t>La Auditoría Superior de la Federación de la Cámara de Diputados del Congreso de la Unión, al fiscalizar la Cuenta Pública Federal que corresponda, verificará que las dependencias del Ejecutivo Federal cumplieron con las disposiciones legales y administrativas federales y, por lo que hace a la ejecución de los recursos de los Fondos a los que se refiere este capítulo, la misma se realizará en términos de la Ley</w:t>
      </w:r>
      <w:r>
        <w:rPr>
          <w:spacing w:val="-2"/>
          <w:sz w:val="20"/>
        </w:rPr>
        <w:t> </w:t>
      </w:r>
      <w:r>
        <w:rPr>
          <w:sz w:val="20"/>
        </w:rPr>
        <w:t>de Fiscalización y Rendición de Cuentas de la Federación.</w:t>
      </w:r>
    </w:p>
    <w:p>
      <w:pPr>
        <w:pStyle w:val="BodyText"/>
        <w:spacing w:before="3"/>
      </w:pPr>
    </w:p>
    <w:p>
      <w:pPr>
        <w:pStyle w:val="BodyText"/>
        <w:ind w:left="1173" w:right="145"/>
        <w:jc w:val="both"/>
      </w:pPr>
      <w:r>
        <w:rPr/>
        <w:t>Para efectos de la fiscalización a que se refiere el párrafo anterior y con el objeto de fortalecer el alcance, profundidad, calidad y seguimiento de las revisiones realizadas por la Auditoría</w:t>
      </w:r>
      <w:r>
        <w:rPr>
          <w:spacing w:val="-1"/>
        </w:rPr>
        <w:t> </w:t>
      </w:r>
      <w:r>
        <w:rPr/>
        <w:t>Superior de la</w:t>
      </w:r>
      <w:r>
        <w:rPr>
          <w:spacing w:val="-1"/>
        </w:rPr>
        <w:t> </w:t>
      </w:r>
      <w:r>
        <w:rPr/>
        <w:t>Federación,</w:t>
      </w:r>
      <w:r>
        <w:rPr>
          <w:spacing w:val="-1"/>
        </w:rPr>
        <w:t> </w:t>
      </w:r>
      <w:r>
        <w:rPr/>
        <w:t>se</w:t>
      </w:r>
      <w:r>
        <w:rPr>
          <w:spacing w:val="-1"/>
        </w:rPr>
        <w:t> </w:t>
      </w:r>
      <w:r>
        <w:rPr/>
        <w:t>transferirá</w:t>
      </w:r>
      <w:r>
        <w:rPr>
          <w:spacing w:val="-1"/>
        </w:rPr>
        <w:t> </w:t>
      </w:r>
      <w:r>
        <w:rPr/>
        <w:t>a ésta</w:t>
      </w:r>
      <w:r>
        <w:rPr>
          <w:spacing w:val="-1"/>
        </w:rPr>
        <w:t> </w:t>
      </w:r>
      <w:r>
        <w:rPr/>
        <w:t>el</w:t>
      </w:r>
      <w:r>
        <w:rPr>
          <w:spacing w:val="-2"/>
        </w:rPr>
        <w:t> </w:t>
      </w:r>
      <w:r>
        <w:rPr/>
        <w:t>0.1</w:t>
      </w:r>
      <w:r>
        <w:rPr>
          <w:spacing w:val="-1"/>
        </w:rPr>
        <w:t> </w:t>
      </w:r>
      <w:r>
        <w:rPr/>
        <w:t>por ciento</w:t>
      </w:r>
      <w:r>
        <w:rPr>
          <w:spacing w:val="-1"/>
        </w:rPr>
        <w:t> </w:t>
      </w:r>
      <w:r>
        <w:rPr/>
        <w:t>de los recursos de los fondos de aportaciones federales aprobados en el Presupuesto de Egresos de la Federación, con excepción del componente de servicios personales previsto en el Fondo de Aportaciones para la Nómina Educativa y Gasto Operativo.</w:t>
      </w:r>
    </w:p>
    <w:p>
      <w:pPr>
        <w:pStyle w:val="BodyText"/>
        <w:spacing w:before="229"/>
        <w:ind w:left="1173" w:right="149"/>
        <w:jc w:val="both"/>
      </w:pPr>
      <w:r>
        <w:rPr/>
        <w:t>La Secretaría deducirá el monto correspondiente de los Fondos antes referidos, y lo transferirá a la Auditoría Superior de la Federación a más tardar el último día hábil del mes de junio de cada ejercicio fiscal;</w:t>
      </w:r>
    </w:p>
    <w:p>
      <w:pPr>
        <w:spacing w:line="183" w:lineRule="exact" w:before="0"/>
        <w:ind w:left="61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01-10-2007,</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15"/>
        </w:numPr>
        <w:tabs>
          <w:tab w:pos="1173" w:val="left" w:leader="none"/>
        </w:tabs>
        <w:spacing w:line="240" w:lineRule="auto" w:before="0" w:after="0"/>
        <w:ind w:left="1173" w:right="144" w:hanging="812"/>
        <w:jc w:val="both"/>
        <w:rPr>
          <w:sz w:val="20"/>
        </w:rPr>
      </w:pPr>
      <w:r>
        <w:rPr>
          <w:sz w:val="20"/>
        </w:rPr>
        <w:t>El ejercicio de los recursos a que se refiere el presente capítulo deberá sujetarse a la evaluación del desempeño en términos del artículo 110 de la Ley Federal de Presupuesto y Responsabilidad Hacendaria. Los resultados del ejercicio de dichos recursos deberán ser evaluados, con base en indicadores, a fin de verificar el cumplimiento de los objetivos a los que se encuentran destinados los Fondos de Aportaciones Federales conforme a la</w:t>
      </w:r>
      <w:r>
        <w:rPr>
          <w:spacing w:val="40"/>
          <w:sz w:val="20"/>
        </w:rPr>
        <w:t> </w:t>
      </w:r>
      <w:r>
        <w:rPr>
          <w:sz w:val="20"/>
        </w:rPr>
        <w:t>presente Ley, incluyendo, en su caso, el resultado cuando concurran recursos de la entidades federativas, municipios o demarcaciones territoriales de la Ciudad de México.</w:t>
      </w:r>
    </w:p>
    <w:p>
      <w:pPr>
        <w:pStyle w:val="BodyText"/>
        <w:spacing w:before="3"/>
      </w:pPr>
    </w:p>
    <w:p>
      <w:pPr>
        <w:pStyle w:val="BodyText"/>
        <w:ind w:left="1173" w:right="146"/>
        <w:jc w:val="both"/>
      </w:pPr>
      <w:r>
        <w:rPr/>
        <w:t>Para efectos de la evaluación a</w:t>
      </w:r>
      <w:r>
        <w:rPr>
          <w:spacing w:val="-1"/>
        </w:rPr>
        <w:t> </w:t>
      </w:r>
      <w:r>
        <w:rPr/>
        <w:t>que se</w:t>
      </w:r>
      <w:r>
        <w:rPr>
          <w:spacing w:val="-1"/>
        </w:rPr>
        <w:t> </w:t>
      </w:r>
      <w:r>
        <w:rPr/>
        <w:t>refiere</w:t>
      </w:r>
      <w:r>
        <w:rPr>
          <w:spacing w:val="-1"/>
        </w:rPr>
        <w:t> </w:t>
      </w:r>
      <w:r>
        <w:rPr/>
        <w:t>el párrafo</w:t>
      </w:r>
      <w:r>
        <w:rPr>
          <w:spacing w:val="-1"/>
        </w:rPr>
        <w:t> </w:t>
      </w:r>
      <w:r>
        <w:rPr/>
        <w:t>anterior, se transferirá hasta</w:t>
      </w:r>
      <w:r>
        <w:rPr>
          <w:spacing w:val="-1"/>
        </w:rPr>
        <w:t> </w:t>
      </w:r>
      <w:r>
        <w:rPr/>
        <w:t>el 0.05 por ciento de los recursos de los fondos de aportaciones federales aprobados en el Presupuesto de Egresos de la Federación, con excepción del componente de servicios personales previsto en el Fondo de Aportaciones para la Nómina Educativa y Gasto Operativo, al mecanismo que para tal efecto establezca la Secretaría de Hacienda y Crédito </w:t>
      </w:r>
      <w:r>
        <w:rPr>
          <w:spacing w:val="-2"/>
        </w:rPr>
        <w:t>Público.</w:t>
      </w:r>
    </w:p>
    <w:p>
      <w:pPr>
        <w:spacing w:line="182" w:lineRule="exact" w:before="0"/>
        <w:ind w:left="496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01-10-2007.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 w:right="144" w:firstLine="288"/>
        <w:jc w:val="both"/>
      </w:pPr>
      <w:r>
        <w:rPr/>
        <w:t>En el caso de los recursos para el pago de servicios personales previsto en el Fondo de Aportaciones para la</w:t>
      </w:r>
      <w:r>
        <w:rPr>
          <w:spacing w:val="-1"/>
        </w:rPr>
        <w:t> </w:t>
      </w:r>
      <w:r>
        <w:rPr/>
        <w:t>Nómina Educativa y</w:t>
      </w:r>
      <w:r>
        <w:rPr>
          <w:spacing w:val="-2"/>
        </w:rPr>
        <w:t> </w:t>
      </w:r>
      <w:r>
        <w:rPr/>
        <w:t>Gasto</w:t>
      </w:r>
      <w:r>
        <w:rPr>
          <w:spacing w:val="-1"/>
        </w:rPr>
        <w:t> </w:t>
      </w:r>
      <w:r>
        <w:rPr/>
        <w:t>Operativo,</w:t>
      </w:r>
      <w:r>
        <w:rPr>
          <w:spacing w:val="-1"/>
        </w:rPr>
        <w:t> </w:t>
      </w:r>
      <w:r>
        <w:rPr/>
        <w:t>las autoridades de</w:t>
      </w:r>
      <w:r>
        <w:rPr>
          <w:spacing w:val="-1"/>
        </w:rPr>
        <w:t> </w:t>
      </w:r>
      <w:r>
        <w:rPr/>
        <w:t>control interno</w:t>
      </w:r>
      <w:r>
        <w:rPr>
          <w:spacing w:val="-2"/>
        </w:rPr>
        <w:t> </w:t>
      </w:r>
      <w:r>
        <w:rPr/>
        <w:t>de los gobiernos federal y de las entidades federativas supervisarán, en el ámbito de sus respectivas competencias, el proceso de integración y</w:t>
      </w:r>
      <w:r>
        <w:rPr>
          <w:spacing w:val="-2"/>
        </w:rPr>
        <w:t> </w:t>
      </w:r>
      <w:r>
        <w:rPr/>
        <w:t>pago de la nómina del personal educativo. Asimismo, la Auditoría Superior de la Federación fiscalizará la aplicación de dichos recursos.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 w:right="145" w:firstLine="288"/>
        <w:jc w:val="both"/>
      </w:pPr>
      <w:r>
        <w:rPr/>
        <w:t>Cuando las autoridades de las entidades federativas, de los municipios o de las demarcaciones territoriales del Distrito Federal, que en el ejercicio de sus atribuciones de control y supervisión conozcan que los recursos de los Fondos no han sido aplicados a los fines que por cada Fondo se señale en la</w:t>
      </w:r>
      <w:r>
        <w:rPr>
          <w:spacing w:val="80"/>
        </w:rPr>
        <w:t> </w:t>
      </w:r>
      <w:r>
        <w:rPr/>
        <w:t>Ley, deberán hacerlo del conocimiento de la Auditoría Superior de la Federación y de la Secretaría de la Función Pública en forma inmediata.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 w:right="145" w:firstLine="288"/>
        <w:jc w:val="both"/>
      </w:pPr>
      <w:r>
        <w:rPr/>
        <w:t>Por su parte, cuando la entidad de fiscalización del Poder Legislativo local, detecte que los recursos</w:t>
      </w:r>
      <w:r>
        <w:rPr>
          <w:spacing w:val="40"/>
        </w:rPr>
        <w:t> </w:t>
      </w:r>
      <w:r>
        <w:rPr/>
        <w:t>de los Fondos no se han destinado a los fines establecidos en esta Ley, deberá hacerlo del conocimiento inmediato de la Auditoría Superior de la Federación de la Cámara de Diputados del Congreso de la</w:t>
      </w:r>
      <w:r>
        <w:rPr>
          <w:spacing w:val="40"/>
        </w:rPr>
        <w:t> </w:t>
      </w:r>
      <w:r>
        <w:rPr>
          <w:spacing w:val="-2"/>
        </w:rPr>
        <w:t>Unión.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spacing w:after="0" w:line="180" w:lineRule="exact"/>
        <w:jc w:val="right"/>
        <w:rPr>
          <w:rFonts w:ascii="Times New Roman" w:hAnsi="Times New Roman"/>
          <w:i/>
          <w:sz w:val="16"/>
        </w:rPr>
        <w:sectPr>
          <w:pgSz w:w="12250" w:h="15850"/>
          <w:pgMar w:header="724" w:footer="712" w:top="1880" w:bottom="900" w:left="1417" w:right="1275"/>
        </w:sectPr>
      </w:pPr>
    </w:p>
    <w:p>
      <w:pPr>
        <w:pStyle w:val="BodyText"/>
        <w:rPr>
          <w:rFonts w:ascii="Times New Roman"/>
          <w:i/>
        </w:rPr>
      </w:pPr>
    </w:p>
    <w:p>
      <w:pPr>
        <w:pStyle w:val="BodyText"/>
        <w:spacing w:before="68"/>
        <w:rPr>
          <w:rFonts w:ascii="Times New Roman"/>
          <w:i/>
        </w:rPr>
      </w:pPr>
    </w:p>
    <w:p>
      <w:pPr>
        <w:pStyle w:val="BodyText"/>
        <w:ind w:left="1" w:right="141" w:firstLine="288"/>
        <w:jc w:val="both"/>
      </w:pPr>
      <w:r>
        <w:rPr/>
        <w:t>Las responsabilidades administrativas, civiles y penales en que incurran los servidores públicos federales o locales por el manejo o aplicación indebidos de los recursos de los Fondos a que se refiere este Capítulo, serán determinadas y sancionadas por las autoridades federales, en los términos de las leyes federales aplicables.</w:t>
      </w:r>
    </w:p>
    <w:p>
      <w:pPr>
        <w:spacing w:line="240" w:lineRule="auto" w:before="0"/>
        <w:ind w:left="6967" w:right="138" w:hanging="76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09-12-2013,</w:t>
      </w:r>
      <w:r>
        <w:rPr>
          <w:rFonts w:ascii="Times New Roman" w:hAnsi="Times New Roman"/>
          <w:i/>
          <w:color w:val="0000FF"/>
          <w:spacing w:val="-8"/>
          <w:sz w:val="16"/>
        </w:rPr>
        <w:t> </w:t>
      </w:r>
      <w:r>
        <w:rPr>
          <w:rFonts w:ascii="Times New Roman" w:hAnsi="Times New Roman"/>
          <w:i/>
          <w:color w:val="0000FF"/>
          <w:sz w:val="16"/>
        </w:rPr>
        <w:t>18-07-2016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2006</w:t>
      </w:r>
    </w:p>
    <w:p>
      <w:pPr>
        <w:pStyle w:val="BodyText"/>
        <w:spacing w:before="42"/>
        <w:rPr>
          <w:rFonts w:ascii="Times New Roman"/>
          <w:i/>
          <w:sz w:val="16"/>
        </w:rPr>
      </w:pPr>
    </w:p>
    <w:p>
      <w:pPr>
        <w:pStyle w:val="BodyText"/>
        <w:ind w:left="1" w:right="138" w:firstLine="288"/>
        <w:jc w:val="both"/>
      </w:pPr>
      <w:bookmarkStart w:name="Artículo_50" w:id="65"/>
      <w:bookmarkEnd w:id="65"/>
      <w:r>
        <w:rPr/>
      </w:r>
      <w:r>
        <w:rPr>
          <w:rFonts w:ascii="Arial" w:hAnsi="Arial"/>
          <w:b/>
        </w:rPr>
        <w:t>Artículo 50. </w:t>
      </w:r>
      <w:r>
        <w:rPr/>
        <w:t>Las aportaciones que con cargo a los Fondos a que se refiere el artículo 25, en sus fracciones III y</w:t>
      </w:r>
      <w:r>
        <w:rPr>
          <w:spacing w:val="-2"/>
        </w:rPr>
        <w:t> </w:t>
      </w:r>
      <w:r>
        <w:rPr/>
        <w:t>VIII, de esta Ley</w:t>
      </w:r>
      <w:r>
        <w:rPr>
          <w:spacing w:val="-4"/>
        </w:rPr>
        <w:t> </w:t>
      </w:r>
      <w:r>
        <w:rPr/>
        <w:t>correspondan a</w:t>
      </w:r>
      <w:r>
        <w:rPr>
          <w:spacing w:val="-1"/>
        </w:rPr>
        <w:t> </w:t>
      </w:r>
      <w:r>
        <w:rPr/>
        <w:t>las Entidades Federativas o</w:t>
      </w:r>
      <w:r>
        <w:rPr>
          <w:spacing w:val="-1"/>
        </w:rPr>
        <w:t> </w:t>
      </w:r>
      <w:r>
        <w:rPr/>
        <w:t>Municipios, podrán</w:t>
      </w:r>
      <w:r>
        <w:rPr>
          <w:spacing w:val="-1"/>
        </w:rPr>
        <w:t> </w:t>
      </w:r>
      <w:r>
        <w:rPr/>
        <w:t>afectarse para garantizar obligaciones en caso de incumplimiento, o servir como fuente de pago de dichas obligaciones que contraigan con la Federación, las instituciones de crédito que operen en territorio nacional o con personas físicas o morales de nacionalidad mexicana, siempre que cuenten con autorización de las legislaturas locales y se inscriban a petición de las Entidades Federativas o los Municipios, según corresponda, ante la Secretaría de Hacienda y Crédito Público, en el Registro de Obligaciones y Empréstitos de Entidades y Municipios, así como en el registro único de obligaciones y empréstitos a que se refiere el quinto párrafo del artículo 9o. del presente ordenamiento.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1" w:right="144" w:firstLine="288"/>
        <w:jc w:val="both"/>
      </w:pPr>
      <w:r>
        <w:rPr/>
        <w:t>Los financiamientos que den origen a las obligaciones a que hace referencia el párrafo anterior únicamente podrán destinarse a los fines establecidos en el artículo 33 de esta Ley, para el caso de las aportaciones con</w:t>
      </w:r>
      <w:r>
        <w:rPr>
          <w:spacing w:val="-2"/>
        </w:rPr>
        <w:t> </w:t>
      </w:r>
      <w:r>
        <w:rPr/>
        <w:t>cargo al Fondo de Aportaciones para</w:t>
      </w:r>
      <w:r>
        <w:rPr>
          <w:spacing w:val="-1"/>
        </w:rPr>
        <w:t> </w:t>
      </w:r>
      <w:r>
        <w:rPr/>
        <w:t>la</w:t>
      </w:r>
      <w:r>
        <w:rPr>
          <w:spacing w:val="-1"/>
        </w:rPr>
        <w:t> </w:t>
      </w:r>
      <w:r>
        <w:rPr/>
        <w:t>Infraestructura</w:t>
      </w:r>
      <w:r>
        <w:rPr>
          <w:spacing w:val="-1"/>
        </w:rPr>
        <w:t> </w:t>
      </w:r>
      <w:r>
        <w:rPr/>
        <w:t>Social, y</w:t>
      </w:r>
      <w:r>
        <w:rPr>
          <w:spacing w:val="-2"/>
        </w:rPr>
        <w:t> </w:t>
      </w:r>
      <w:r>
        <w:rPr/>
        <w:t>a los fines establecidos en el artículo 47 de esta Ley por lo que se refiere al Fondo de Aportaciones Federales para el Fortalecimiento de las Entidades Federativas.</w:t>
      </w:r>
    </w:p>
    <w:p>
      <w:pPr>
        <w:pStyle w:val="BodyText"/>
      </w:pPr>
    </w:p>
    <w:p>
      <w:pPr>
        <w:pStyle w:val="BodyText"/>
        <w:ind w:left="1" w:right="144" w:firstLine="288"/>
        <w:jc w:val="both"/>
      </w:pPr>
      <w:r>
        <w:rPr/>
        <w:t>Las Entidades Federativas y</w:t>
      </w:r>
      <w:r>
        <w:rPr>
          <w:spacing w:val="-2"/>
        </w:rPr>
        <w:t> </w:t>
      </w:r>
      <w:r>
        <w:rPr/>
        <w:t>los Municipios que</w:t>
      </w:r>
      <w:r>
        <w:rPr>
          <w:spacing w:val="-1"/>
        </w:rPr>
        <w:t> </w:t>
      </w:r>
      <w:r>
        <w:rPr/>
        <w:t>contraigan</w:t>
      </w:r>
      <w:r>
        <w:rPr>
          <w:spacing w:val="-1"/>
        </w:rPr>
        <w:t> </w:t>
      </w:r>
      <w:r>
        <w:rPr/>
        <w:t>obligaciones al amparo</w:t>
      </w:r>
      <w:r>
        <w:rPr>
          <w:spacing w:val="-1"/>
        </w:rPr>
        <w:t> </w:t>
      </w:r>
      <w:r>
        <w:rPr/>
        <w:t>de este</w:t>
      </w:r>
      <w:r>
        <w:rPr>
          <w:spacing w:val="-1"/>
        </w:rPr>
        <w:t> </w:t>
      </w:r>
      <w:r>
        <w:rPr/>
        <w:t>artículo,</w:t>
      </w:r>
      <w:r>
        <w:rPr>
          <w:spacing w:val="-1"/>
        </w:rPr>
        <w:t> </w:t>
      </w:r>
      <w:r>
        <w:rPr/>
        <w:t>no podrán destinar más del 25% de los recursos que anualmente les correspondan por concepto de los fondos a que se refiere el párrafo anterior, para servir dichas obligaciones.</w:t>
      </w:r>
    </w:p>
    <w:p>
      <w:pPr>
        <w:pStyle w:val="BodyText"/>
      </w:pPr>
    </w:p>
    <w:p>
      <w:pPr>
        <w:pStyle w:val="BodyText"/>
        <w:ind w:left="1" w:right="145" w:firstLine="288"/>
        <w:jc w:val="both"/>
      </w:pPr>
      <w:r>
        <w:rPr/>
        <w:t>Tratándose de obligaciones pagaderas en dos o más ejercicios fiscales, para cada año podrá destinarse al servicio de las mismas lo que resulte mayor entre aplicar el porcentaje a que se refiere el párrafo anterior a los recursos correspondientes al año de que se trate o a los recursos correspondientes al año en que las obligaciones hayan sido contratadas.</w:t>
      </w:r>
    </w:p>
    <w:p>
      <w:pPr>
        <w:spacing w:line="181" w:lineRule="exact" w:before="0"/>
        <w:ind w:left="698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9"/>
        <w:rPr>
          <w:rFonts w:ascii="Times New Roman"/>
          <w:i/>
          <w:sz w:val="16"/>
        </w:rPr>
      </w:pPr>
    </w:p>
    <w:p>
      <w:pPr>
        <w:pStyle w:val="BodyText"/>
        <w:spacing w:before="1"/>
        <w:ind w:left="1" w:right="145" w:firstLine="288"/>
        <w:jc w:val="both"/>
      </w:pPr>
      <w:r>
        <w:rPr/>
        <w:t>Las obligaciones de los Municipios a que se refiere el segundo párrafo de este artículo se inscribirán en</w:t>
      </w:r>
      <w:r>
        <w:rPr>
          <w:spacing w:val="-3"/>
        </w:rPr>
        <w:t> </w:t>
      </w:r>
      <w:r>
        <w:rPr/>
        <w:t>el</w:t>
      </w:r>
      <w:r>
        <w:rPr>
          <w:spacing w:val="-3"/>
        </w:rPr>
        <w:t> </w:t>
      </w:r>
      <w:r>
        <w:rPr/>
        <w:t>Registro</w:t>
      </w:r>
      <w:r>
        <w:rPr>
          <w:spacing w:val="-2"/>
        </w:rPr>
        <w:t> </w:t>
      </w:r>
      <w:r>
        <w:rPr/>
        <w:t>de</w:t>
      </w:r>
      <w:r>
        <w:rPr>
          <w:spacing w:val="-3"/>
        </w:rPr>
        <w:t> </w:t>
      </w:r>
      <w:r>
        <w:rPr/>
        <w:t>Obligaciones y</w:t>
      </w:r>
      <w:r>
        <w:rPr>
          <w:spacing w:val="-5"/>
        </w:rPr>
        <w:t> </w:t>
      </w:r>
      <w:r>
        <w:rPr/>
        <w:t>Empréstitos</w:t>
      </w:r>
      <w:r>
        <w:rPr>
          <w:spacing w:val="-1"/>
        </w:rPr>
        <w:t> </w:t>
      </w:r>
      <w:r>
        <w:rPr/>
        <w:t>de Entidades</w:t>
      </w:r>
      <w:r>
        <w:rPr>
          <w:spacing w:val="-1"/>
        </w:rPr>
        <w:t> </w:t>
      </w:r>
      <w:r>
        <w:rPr/>
        <w:t>Federativas y</w:t>
      </w:r>
      <w:r>
        <w:rPr>
          <w:spacing w:val="-3"/>
        </w:rPr>
        <w:t> </w:t>
      </w:r>
      <w:r>
        <w:rPr/>
        <w:t>Municipios,</w:t>
      </w:r>
      <w:r>
        <w:rPr>
          <w:spacing w:val="-2"/>
        </w:rPr>
        <w:t> </w:t>
      </w:r>
      <w:r>
        <w:rPr/>
        <w:t>cuando</w:t>
      </w:r>
      <w:r>
        <w:rPr>
          <w:spacing w:val="-3"/>
        </w:rPr>
        <w:t> </w:t>
      </w:r>
      <w:r>
        <w:rPr/>
        <w:t>cuenten</w:t>
      </w:r>
      <w:r>
        <w:rPr>
          <w:spacing w:val="-2"/>
        </w:rPr>
        <w:t> </w:t>
      </w:r>
      <w:r>
        <w:rPr/>
        <w:t>con la garantía del Gobierno del Estado respectivo, salvo cuando a juicio de la Secretaría de Hacienda y Crédito Público tengan suficientes aportaciones con cargo al Fondo a que se refiere el artículo 25,</w:t>
      </w:r>
      <w:r>
        <w:rPr>
          <w:spacing w:val="40"/>
        </w:rPr>
        <w:t> </w:t>
      </w:r>
      <w:r>
        <w:rPr/>
        <w:t>fracción III, de esta Ley, para responder a sus compromisos.</w:t>
      </w:r>
    </w:p>
    <w:p>
      <w:pPr>
        <w:pStyle w:val="BodyText"/>
      </w:pPr>
    </w:p>
    <w:p>
      <w:pPr>
        <w:pStyle w:val="BodyText"/>
        <w:ind w:left="1" w:right="151" w:firstLine="288"/>
        <w:jc w:val="both"/>
      </w:pPr>
      <w:r>
        <w:rPr/>
        <w:t>Las Entidades Federativas y Municipios efectuarán los pagos de las obligaciones contraídas en los términos de este artículo, con cargo a las aportaciones que les correspondan de los Fondos a que el mismo se refiere, a través de mecanismos de garantía o de fuente de pago, sin perjuicio de los instrumentos y sistemas de registro establecidos, en su caso, en las leyes estatales de deuda.</w:t>
      </w:r>
    </w:p>
    <w:p>
      <w:pPr>
        <w:spacing w:line="181" w:lineRule="exact" w:before="0"/>
        <w:ind w:left="696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2006</w:t>
      </w:r>
    </w:p>
    <w:p>
      <w:pPr>
        <w:pStyle w:val="BodyText"/>
        <w:spacing w:before="47"/>
        <w:rPr>
          <w:rFonts w:ascii="Times New Roman"/>
          <w:i/>
          <w:sz w:val="16"/>
        </w:rPr>
      </w:pPr>
    </w:p>
    <w:p>
      <w:pPr>
        <w:pStyle w:val="BodyText"/>
        <w:spacing w:before="1"/>
        <w:ind w:left="1" w:right="146" w:firstLine="288"/>
        <w:jc w:val="both"/>
      </w:pPr>
      <w:bookmarkStart w:name="Artículo_51" w:id="66"/>
      <w:bookmarkEnd w:id="66"/>
      <w:r>
        <w:rPr/>
      </w:r>
      <w:r>
        <w:rPr>
          <w:rFonts w:ascii="Arial" w:hAnsi="Arial"/>
          <w:b/>
        </w:rPr>
        <w:t>Artículo 51.- </w:t>
      </w:r>
      <w:r>
        <w:rPr/>
        <w:t>Las aportaciones que con cargo al Fondo a que se refiere el artículo 25, fracción IV de esta Ley correspondan a los municipios y a las demarcaciones territoriales del Distrito Federal podrán afectarse como garantía del cumplimiento de sus obligaciones de pago de derechos y aprovechamientos por concepto de agua y descargas de aguas residuales, cuando así lo dispongan las leyes locales y de conformidad con lo dispuesto en este artículo.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spacing w:after="0" w:line="183" w:lineRule="exact"/>
        <w:jc w:val="right"/>
        <w:rPr>
          <w:rFonts w:ascii="Times New Roman" w:hAnsi="Times New Roman"/>
          <w:i/>
          <w:sz w:val="16"/>
        </w:rPr>
        <w:sectPr>
          <w:pgSz w:w="12250" w:h="15850"/>
          <w:pgMar w:header="724" w:footer="712" w:top="1880" w:bottom="900" w:left="1417" w:right="1275"/>
        </w:sectPr>
      </w:pPr>
    </w:p>
    <w:p>
      <w:pPr>
        <w:pStyle w:val="BodyText"/>
        <w:spacing w:before="67"/>
        <w:rPr>
          <w:rFonts w:ascii="Times New Roman"/>
          <w:i/>
        </w:rPr>
      </w:pPr>
    </w:p>
    <w:p>
      <w:pPr>
        <w:pStyle w:val="BodyText"/>
        <w:ind w:left="1" w:right="142" w:firstLine="288"/>
        <w:jc w:val="both"/>
      </w:pPr>
      <w:r>
        <w:rPr/>
        <w:t>En caso de incumplimiento por parte de los municipios o de las demarcaciones territoriales del Distrito Federal a sus obligaciones de pago de derechos y aprovechamientos por concepto de agua y descargas de aguas residuales, la Comisión Nacional del Agua podrá solicitar al gobierno local correspondiente, previa acreditación del incumplimiento, la retención y pago del adeudo con cargo a los recursos del</w:t>
      </w:r>
      <w:r>
        <w:rPr>
          <w:spacing w:val="40"/>
        </w:rPr>
        <w:t> </w:t>
      </w:r>
      <w:r>
        <w:rPr/>
        <w:t>Fondo</w:t>
      </w:r>
      <w:r>
        <w:rPr>
          <w:spacing w:val="-1"/>
        </w:rPr>
        <w:t> </w:t>
      </w:r>
      <w:r>
        <w:rPr/>
        <w:t>mencionado en el párrafo anterior que correspondan al</w:t>
      </w:r>
      <w:r>
        <w:rPr>
          <w:spacing w:val="-1"/>
        </w:rPr>
        <w:t> </w:t>
      </w:r>
      <w:r>
        <w:rPr/>
        <w:t>municipio o Demarcación</w:t>
      </w:r>
      <w:r>
        <w:rPr>
          <w:spacing w:val="-1"/>
        </w:rPr>
        <w:t> </w:t>
      </w:r>
      <w:r>
        <w:rPr/>
        <w:t>Territorial</w:t>
      </w:r>
      <w:r>
        <w:rPr>
          <w:spacing w:val="-1"/>
        </w:rPr>
        <w:t> </w:t>
      </w:r>
      <w:r>
        <w:rPr/>
        <w:t>de que se trate, conforme a lo dispuesto por el artículo 36 de esta Ley. La Comisión</w:t>
      </w:r>
      <w:r>
        <w:rPr>
          <w:spacing w:val="38"/>
        </w:rPr>
        <w:t> </w:t>
      </w:r>
      <w:r>
        <w:rPr/>
        <w:t>Nacional del Agua sólo podrá solicitar la retención y pago señalados cuando el adeudo tenga una antigüedad mayor de 90 días </w:t>
      </w:r>
      <w:r>
        <w:rPr>
          <w:spacing w:val="-2"/>
        </w:rPr>
        <w:t>naturales.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 w:right="140" w:firstLine="288"/>
        <w:jc w:val="both"/>
      </w:pPr>
      <w:r>
        <w:rPr/>
        <w:t>Lo</w:t>
      </w:r>
      <w:r>
        <w:rPr>
          <w:spacing w:val="-4"/>
        </w:rPr>
        <w:t> </w:t>
      </w:r>
      <w:r>
        <w:rPr/>
        <w:t>previsto</w:t>
      </w:r>
      <w:r>
        <w:rPr>
          <w:spacing w:val="-4"/>
        </w:rPr>
        <w:t> </w:t>
      </w:r>
      <w:r>
        <w:rPr/>
        <w:t>en</w:t>
      </w:r>
      <w:r>
        <w:rPr>
          <w:spacing w:val="-3"/>
        </w:rPr>
        <w:t> </w:t>
      </w:r>
      <w:r>
        <w:rPr/>
        <w:t>el</w:t>
      </w:r>
      <w:r>
        <w:rPr>
          <w:spacing w:val="-4"/>
        </w:rPr>
        <w:t> </w:t>
      </w:r>
      <w:r>
        <w:rPr/>
        <w:t>párrafo</w:t>
      </w:r>
      <w:r>
        <w:rPr>
          <w:spacing w:val="-3"/>
        </w:rPr>
        <w:t> </w:t>
      </w:r>
      <w:r>
        <w:rPr/>
        <w:t>anterior,</w:t>
      </w:r>
      <w:r>
        <w:rPr>
          <w:spacing w:val="-3"/>
        </w:rPr>
        <w:t> </w:t>
      </w:r>
      <w:r>
        <w:rPr/>
        <w:t>será aplicable</w:t>
      </w:r>
      <w:r>
        <w:rPr>
          <w:spacing w:val="-1"/>
        </w:rPr>
        <w:t> </w:t>
      </w:r>
      <w:r>
        <w:rPr/>
        <w:t>aun y</w:t>
      </w:r>
      <w:r>
        <w:rPr>
          <w:spacing w:val="-4"/>
        </w:rPr>
        <w:t> </w:t>
      </w:r>
      <w:r>
        <w:rPr/>
        <w:t>cuando</w:t>
      </w:r>
      <w:r>
        <w:rPr>
          <w:spacing w:val="-1"/>
        </w:rPr>
        <w:t> </w:t>
      </w:r>
      <w:r>
        <w:rPr/>
        <w:t>el</w:t>
      </w:r>
      <w:r>
        <w:rPr>
          <w:spacing w:val="-2"/>
        </w:rPr>
        <w:t> </w:t>
      </w:r>
      <w:r>
        <w:rPr/>
        <w:t>servicio</w:t>
      </w:r>
      <w:r>
        <w:rPr>
          <w:spacing w:val="-1"/>
        </w:rPr>
        <w:t> </w:t>
      </w:r>
      <w:r>
        <w:rPr/>
        <w:t>de</w:t>
      </w:r>
      <w:r>
        <w:rPr>
          <w:spacing w:val="-4"/>
        </w:rPr>
        <w:t> </w:t>
      </w:r>
      <w:r>
        <w:rPr/>
        <w:t>suministro</w:t>
      </w:r>
      <w:r>
        <w:rPr>
          <w:spacing w:val="-3"/>
        </w:rPr>
        <w:t> </w:t>
      </w:r>
      <w:r>
        <w:rPr/>
        <w:t>de</w:t>
      </w:r>
      <w:r>
        <w:rPr>
          <w:spacing w:val="-3"/>
        </w:rPr>
        <w:t> </w:t>
      </w:r>
      <w:r>
        <w:rPr/>
        <w:t>agua</w:t>
      </w:r>
      <w:r>
        <w:rPr>
          <w:spacing w:val="-1"/>
        </w:rPr>
        <w:t> </w:t>
      </w:r>
      <w:r>
        <w:rPr/>
        <w:t>no</w:t>
      </w:r>
      <w:r>
        <w:rPr>
          <w:spacing w:val="-4"/>
        </w:rPr>
        <w:t> </w:t>
      </w:r>
      <w:r>
        <w:rPr/>
        <w:t>sea proporcionado directamente por la Comisión Nacional del Agua, sino a través de organismos prestadores del servicio.</w:t>
      </w:r>
    </w:p>
    <w:p>
      <w:pPr>
        <w:pStyle w:val="BodyText"/>
        <w:spacing w:before="229"/>
        <w:ind w:left="1" w:right="148" w:firstLine="288"/>
        <w:jc w:val="both"/>
      </w:pPr>
      <w:r>
        <w:rPr/>
        <w:t>La Comisión Nacional del Agua podrá ceder, afectar y en términos generales transferir los recursos derivados de la retención a que se refiere este artículo a fideicomisos u otros mecanismos de fuente de pago o de garantía constituidos para el financiamiento de infraestructura prioritaria en las materias de abastecimiento de agua potable, drenaje o saneamiento de aguas residuales.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1" w:right="145" w:firstLine="288"/>
        <w:jc w:val="both"/>
      </w:pPr>
      <w:bookmarkStart w:name="Artículo_52" w:id="67"/>
      <w:bookmarkEnd w:id="67"/>
      <w:r>
        <w:rPr/>
      </w:r>
      <w:r>
        <w:rPr>
          <w:rFonts w:ascii="Arial" w:hAnsi="Arial"/>
          <w:b/>
        </w:rPr>
        <w:t>Artículo 52.- </w:t>
      </w:r>
      <w:r>
        <w:rPr/>
        <w:t>Las aportaciones que con cargo a los Fondos de Aportaciones Múltiples y para la Seguridad Pública de los Estados y el Distrito Federal, a que se refiere el artículo 25 de esta Ley, fracciones V y VII, respectivamente, que correspondan a las entidades, podrán afectarse para garantizar obligaciones en caso de incumplimiento, o servir como fuente de pago de obligaciones que se contraigan en términos de los convenios que celebren las Entidades Federativas con la Federación, a través de la Secretaría de Hacienda y Crédito Público, mediante los cuales se establezcan mecanismos de potenciación, financiamiento o esquemas similares respecto de dichos Fondos.</w:t>
      </w:r>
    </w:p>
    <w:p>
      <w:pPr>
        <w:pStyle w:val="BodyText"/>
        <w:spacing w:before="4"/>
      </w:pPr>
    </w:p>
    <w:p>
      <w:pPr>
        <w:pStyle w:val="BodyText"/>
        <w:ind w:left="1" w:right="144" w:firstLine="288"/>
        <w:jc w:val="both"/>
      </w:pPr>
      <w:r>
        <w:rPr/>
        <w:t>Las entidades convendrán con la Federación los términos y condiciones de dichos esquemas, incluyendo el reconocimiento de la recepción anticipada de recursos correspondientes a dichos Fondos como resultado de los mecanismos referidos, así como su compensación a través del tiempo.</w:t>
      </w:r>
    </w:p>
    <w:p>
      <w:pPr>
        <w:pStyle w:val="BodyText"/>
        <w:spacing w:before="229"/>
        <w:ind w:left="1" w:right="147" w:firstLine="288"/>
        <w:jc w:val="both"/>
      </w:pPr>
      <w:r>
        <w:rPr/>
        <w:t>Los recursos netos que se obtengan de los mecanismos antes referidos, únicamente podrán destinarse a infraestructura directamente relacionada con los fines establecidos en los artículos 40 y 45</w:t>
      </w:r>
      <w:r>
        <w:rPr>
          <w:spacing w:val="40"/>
        </w:rPr>
        <w:t> </w:t>
      </w:r>
      <w:r>
        <w:rPr/>
        <w:t>de esta Ley, en términos de los convenios respectivos.</w:t>
      </w:r>
    </w:p>
    <w:p>
      <w:pPr>
        <w:pStyle w:val="BodyText"/>
        <w:spacing w:before="229"/>
        <w:ind w:left="1" w:right="147" w:firstLine="288"/>
        <w:jc w:val="both"/>
      </w:pPr>
      <w:r>
        <w:rPr/>
        <w:t>Para las obligaciones al amparo de este artículo, no podrán destinarse más del 25% de los recursos que anualmente correspondan por concepto de los fondos a que se refiere el párrafo anterior, para servir dichas obligaciones, excepto por lo establecido en el párrafo siguiente.</w:t>
      </w:r>
    </w:p>
    <w:p>
      <w:pPr>
        <w:pStyle w:val="BodyText"/>
        <w:spacing w:before="2"/>
      </w:pPr>
    </w:p>
    <w:p>
      <w:pPr>
        <w:pStyle w:val="BodyText"/>
        <w:spacing w:before="1"/>
        <w:ind w:left="1" w:right="143" w:firstLine="288"/>
        <w:jc w:val="both"/>
      </w:pPr>
      <w:r>
        <w:rPr/>
        <w:t>Tratándose de obligaciones pagaderas en dos o más ejercicios fiscales, para cada año podrá destinarse al servicio de las mismas lo que resulte mayor entre aplicar el porcentaje a que se refiere el párrafo anterior a los recursos correspondientes al año de que se trate o a los recursos correspondientes al año en que las obligaciones hayan sido contratadas.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5"/>
        <w:rPr>
          <w:rFonts w:ascii="Times New Roman"/>
          <w:i/>
          <w:sz w:val="16"/>
        </w:rPr>
      </w:pPr>
    </w:p>
    <w:p>
      <w:pPr>
        <w:pStyle w:val="Heading1"/>
        <w:spacing w:before="0"/>
      </w:pPr>
      <w:bookmarkStart w:name="TRANSITORIOS" w:id="68"/>
      <w:bookmarkEnd w:id="68"/>
      <w:r>
        <w:rPr>
          <w:b w:val="0"/>
        </w:rPr>
      </w:r>
      <w:r>
        <w:rPr>
          <w:spacing w:val="-2"/>
        </w:rPr>
        <w:t>TRANSITORIOS</w:t>
      </w:r>
    </w:p>
    <w:p>
      <w:pPr>
        <w:pStyle w:val="BodyText"/>
        <w:spacing w:before="1"/>
        <w:rPr>
          <w:rFonts w:ascii="Arial"/>
          <w:b/>
        </w:rPr>
      </w:pPr>
    </w:p>
    <w:p>
      <w:pPr>
        <w:pStyle w:val="BodyText"/>
        <w:spacing w:before="1"/>
        <w:ind w:left="1" w:firstLine="288"/>
      </w:pPr>
      <w:bookmarkStart w:name="Artículo_Primero" w:id="69"/>
      <w:bookmarkEnd w:id="69"/>
      <w:r>
        <w:rPr/>
      </w:r>
      <w:r>
        <w:rPr>
          <w:rFonts w:ascii="Arial" w:hAnsi="Arial"/>
          <w:b/>
        </w:rPr>
        <w:t>Artículo Primero.- </w:t>
      </w:r>
      <w:r>
        <w:rPr/>
        <w:t>Esta Ley entrará en vigor, en toda la República, el día 1o. de enero de 1980, salvo las disposiciones del Capítulo IV, las que entrarán en vigor en lo conducente, el 1o. de enero de 1979.</w:t>
      </w:r>
    </w:p>
    <w:p>
      <w:pPr>
        <w:pStyle w:val="BodyText"/>
        <w:spacing w:line="242" w:lineRule="auto" w:before="228"/>
        <w:ind w:left="1" w:right="187" w:firstLine="288"/>
      </w:pPr>
      <w:bookmarkStart w:name="Artículo_Segundo" w:id="70"/>
      <w:bookmarkEnd w:id="70"/>
      <w:r>
        <w:rPr/>
      </w:r>
      <w:r>
        <w:rPr>
          <w:rFonts w:ascii="Arial" w:hAnsi="Arial"/>
          <w:b/>
        </w:rPr>
        <w:t>Artículo Segundo.- </w:t>
      </w:r>
      <w:r>
        <w:rPr/>
        <w:t>Al entrar en vigor la presente Ley se abroga la Ley de Coordinación Fiscal entre</w:t>
      </w:r>
      <w:r>
        <w:rPr>
          <w:spacing w:val="40"/>
        </w:rPr>
        <w:t> </w:t>
      </w:r>
      <w:r>
        <w:rPr/>
        <w:t>la Federación y los Estados de 28 de diciembre de 1953.</w:t>
      </w:r>
    </w:p>
    <w:p>
      <w:pPr>
        <w:pStyle w:val="BodyText"/>
        <w:spacing w:after="0" w:line="242" w:lineRule="auto"/>
        <w:sectPr>
          <w:pgSz w:w="12250" w:h="15850"/>
          <w:pgMar w:header="724" w:footer="712" w:top="1880" w:bottom="900" w:left="1417" w:right="1275"/>
        </w:sectPr>
      </w:pPr>
    </w:p>
    <w:p>
      <w:pPr>
        <w:pStyle w:val="BodyText"/>
      </w:pPr>
    </w:p>
    <w:p>
      <w:pPr>
        <w:pStyle w:val="BodyText"/>
        <w:spacing w:before="65"/>
      </w:pPr>
    </w:p>
    <w:p>
      <w:pPr>
        <w:pStyle w:val="BodyText"/>
        <w:ind w:left="1" w:right="145" w:firstLine="288"/>
        <w:jc w:val="both"/>
      </w:pPr>
      <w:bookmarkStart w:name="Artículo_Tercero" w:id="71"/>
      <w:bookmarkEnd w:id="71"/>
      <w:r>
        <w:rPr/>
      </w:r>
      <w:r>
        <w:rPr>
          <w:rFonts w:ascii="Arial" w:hAnsi="Arial"/>
          <w:b/>
        </w:rPr>
        <w:t>Artículo Tercero.- </w:t>
      </w:r>
      <w:r>
        <w:rPr/>
        <w:t>A partir de la fecha en que entre en vigor la presente Ley, quedarán abrogadas la Ley que Regula el Pago de Participaciones en Ingresos Federales a las Entidades Federativas, de 29 de diciembre de 1948; y la Ley que Otorga Compensaciones Adicionales a los Estados que Celebren Convenio de Coordinación en Materia de Impuesto Federal sobre Ingresos Mercantiles, de 28 de diciembre de 1953.</w:t>
      </w:r>
    </w:p>
    <w:p>
      <w:pPr>
        <w:pStyle w:val="BodyText"/>
      </w:pPr>
    </w:p>
    <w:p>
      <w:pPr>
        <w:pStyle w:val="BodyText"/>
        <w:spacing w:before="1"/>
        <w:ind w:left="1" w:right="147" w:firstLine="288"/>
        <w:jc w:val="both"/>
      </w:pPr>
      <w:bookmarkStart w:name="Artículo_Cuarto" w:id="72"/>
      <w:bookmarkEnd w:id="72"/>
      <w:r>
        <w:rPr/>
      </w:r>
      <w:r>
        <w:rPr>
          <w:rFonts w:ascii="Arial" w:hAnsi="Arial"/>
          <w:b/>
        </w:rPr>
        <w:t>Artículo Cuarto.- </w:t>
      </w:r>
      <w:r>
        <w:rPr/>
        <w:t>Para los efectos del artículo 2o., fracción I, de esta Ley, los gravámenes que las entidades locales o municipales convengan en derogar o dejar en suspenso al adherirse al Sistema Nacional de Coordinación Fiscal, referirán al año de 1978 y a los gravámenes que estuvieron en vigor en dicho año.</w:t>
      </w:r>
    </w:p>
    <w:p>
      <w:pPr>
        <w:pStyle w:val="BodyText"/>
      </w:pPr>
    </w:p>
    <w:p>
      <w:pPr>
        <w:pStyle w:val="BodyText"/>
        <w:spacing w:line="242" w:lineRule="auto"/>
        <w:ind w:left="1" w:right="146" w:firstLine="288"/>
        <w:jc w:val="both"/>
      </w:pPr>
      <w:bookmarkStart w:name="Artículo_Quinto" w:id="73"/>
      <w:bookmarkEnd w:id="73"/>
      <w:r>
        <w:rPr/>
      </w:r>
      <w:r>
        <w:rPr>
          <w:rFonts w:ascii="Arial" w:hAnsi="Arial"/>
          <w:b/>
        </w:rPr>
        <w:t>Artículo Quinto.- </w:t>
      </w:r>
      <w:r>
        <w:rPr/>
        <w:t>Por el año de 1980, no se aplicará el procedimiento señalado en el artículo 3o. de esta Ley, sino que procederá como sigue:</w:t>
      </w:r>
    </w:p>
    <w:p>
      <w:pPr>
        <w:pStyle w:val="BodyText"/>
        <w:spacing w:before="224"/>
        <w:ind w:left="1" w:right="142" w:firstLine="288"/>
        <w:jc w:val="both"/>
      </w:pPr>
      <w:r>
        <w:rPr>
          <w:rFonts w:ascii="Arial" w:hAnsi="Arial"/>
          <w:b/>
        </w:rPr>
        <w:t>I.- </w:t>
      </w:r>
      <w:r>
        <w:rPr/>
        <w:t>Se sumarán todas las cantidades que cada entidad hubiera percibido en 1978, por concepto de participaciones que en impuestos federales hubieran correspondido a la propia entidad y las que la Federación hubiera pagado directamente a sus Municipios con exclusión de las relativas a los impuestos adicionales de 3% y de 2% sobre importaciones y exportaciones, respectivamente, y el monto de las recaudaciones, que la entidad hubiera obtenido en dicho año por gravámenes estatales o municipales, que no deba mantener en vigor al iniciar la vigencia de la presente Ley.</w:t>
      </w:r>
    </w:p>
    <w:p>
      <w:pPr>
        <w:pStyle w:val="BodyText"/>
      </w:pPr>
    </w:p>
    <w:p>
      <w:pPr>
        <w:pStyle w:val="BodyText"/>
        <w:spacing w:line="242" w:lineRule="auto" w:before="1"/>
        <w:ind w:left="1" w:right="149" w:firstLine="288"/>
        <w:jc w:val="both"/>
      </w:pPr>
      <w:r>
        <w:rPr>
          <w:rFonts w:ascii="Arial" w:hAnsi="Arial"/>
          <w:b/>
        </w:rPr>
        <w:t>II.- </w:t>
      </w:r>
      <w:r>
        <w:rPr/>
        <w:t>Se determinará la recaudación por el total de impuestos que en el mismo año a que se refiere la fracción anterior obtenga la Federación en la República.</w:t>
      </w:r>
    </w:p>
    <w:p>
      <w:pPr>
        <w:pStyle w:val="BodyText"/>
        <w:spacing w:before="227"/>
        <w:ind w:left="1" w:right="153" w:firstLine="288"/>
        <w:jc w:val="both"/>
      </w:pPr>
      <w:r>
        <w:rPr>
          <w:rFonts w:ascii="Arial" w:hAnsi="Arial"/>
          <w:b/>
        </w:rPr>
        <w:t>III.- </w:t>
      </w:r>
      <w:r>
        <w:rPr/>
        <w:t>Se dividirá la suma que resulte conforme a la fracción I, entre el monto determinado de acuerdo con la fracción II.</w:t>
      </w:r>
    </w:p>
    <w:p>
      <w:pPr>
        <w:pStyle w:val="BodyText"/>
        <w:spacing w:before="229"/>
        <w:ind w:left="1" w:right="144" w:firstLine="288"/>
        <w:jc w:val="both"/>
      </w:pPr>
      <w:r>
        <w:rPr>
          <w:rFonts w:ascii="Arial" w:hAnsi="Arial"/>
          <w:b/>
        </w:rPr>
        <w:t>IV.- </w:t>
      </w:r>
      <w:r>
        <w:rPr/>
        <w:t>Se sumarán los resultados que, de acuerdo con la fracción anterior se obtengan en todas las entidades, y se determinará el tanto por ciento que el resultado que corresponda a cada entidad represente en el total. Dicho tanto por ciento será la proporción en la que cada entidad participará en el Fondo General de Participaciones durante el ejercicio de 1980.</w:t>
      </w:r>
    </w:p>
    <w:p>
      <w:pPr>
        <w:pStyle w:val="BodyText"/>
        <w:spacing w:before="1"/>
      </w:pPr>
    </w:p>
    <w:p>
      <w:pPr>
        <w:pStyle w:val="BodyText"/>
        <w:spacing w:before="1"/>
        <w:ind w:left="289"/>
      </w:pPr>
      <w:r>
        <w:rPr/>
        <w:t>A</w:t>
      </w:r>
      <w:r>
        <w:rPr>
          <w:spacing w:val="-6"/>
        </w:rPr>
        <w:t> </w:t>
      </w:r>
      <w:r>
        <w:rPr/>
        <w:t>partir</w:t>
      </w:r>
      <w:r>
        <w:rPr>
          <w:spacing w:val="-4"/>
        </w:rPr>
        <w:t> </w:t>
      </w:r>
      <w:r>
        <w:rPr/>
        <w:t>del</w:t>
      </w:r>
      <w:r>
        <w:rPr>
          <w:spacing w:val="-6"/>
        </w:rPr>
        <w:t> </w:t>
      </w:r>
      <w:r>
        <w:rPr/>
        <w:t>ejercicio</w:t>
      </w:r>
      <w:r>
        <w:rPr>
          <w:spacing w:val="-5"/>
        </w:rPr>
        <w:t> </w:t>
      </w:r>
      <w:r>
        <w:rPr/>
        <w:t>de</w:t>
      </w:r>
      <w:r>
        <w:rPr>
          <w:spacing w:val="-6"/>
        </w:rPr>
        <w:t> </w:t>
      </w:r>
      <w:r>
        <w:rPr/>
        <w:t>1981,</w:t>
      </w:r>
      <w:r>
        <w:rPr>
          <w:spacing w:val="-5"/>
        </w:rPr>
        <w:t> </w:t>
      </w:r>
      <w:r>
        <w:rPr/>
        <w:t>se</w:t>
      </w:r>
      <w:r>
        <w:rPr>
          <w:spacing w:val="-5"/>
        </w:rPr>
        <w:t> </w:t>
      </w:r>
      <w:r>
        <w:rPr/>
        <w:t>aplicará</w:t>
      </w:r>
      <w:r>
        <w:rPr>
          <w:spacing w:val="-5"/>
        </w:rPr>
        <w:t> </w:t>
      </w:r>
      <w:r>
        <w:rPr/>
        <w:t>en</w:t>
      </w:r>
      <w:r>
        <w:rPr>
          <w:spacing w:val="-5"/>
        </w:rPr>
        <w:t> </w:t>
      </w:r>
      <w:r>
        <w:rPr/>
        <w:t>sus</w:t>
      </w:r>
      <w:r>
        <w:rPr>
          <w:spacing w:val="-5"/>
        </w:rPr>
        <w:t> </w:t>
      </w:r>
      <w:r>
        <w:rPr/>
        <w:t>términos</w:t>
      </w:r>
      <w:r>
        <w:rPr>
          <w:spacing w:val="-4"/>
        </w:rPr>
        <w:t> </w:t>
      </w:r>
      <w:r>
        <w:rPr/>
        <w:t>la</w:t>
      </w:r>
      <w:r>
        <w:rPr>
          <w:spacing w:val="-5"/>
        </w:rPr>
        <w:t> </w:t>
      </w:r>
      <w:r>
        <w:rPr/>
        <w:t>formula</w:t>
      </w:r>
      <w:r>
        <w:rPr>
          <w:spacing w:val="-5"/>
        </w:rPr>
        <w:t> </w:t>
      </w:r>
      <w:r>
        <w:rPr/>
        <w:t>del</w:t>
      </w:r>
      <w:r>
        <w:rPr>
          <w:spacing w:val="-5"/>
        </w:rPr>
        <w:t> </w:t>
      </w:r>
      <w:r>
        <w:rPr/>
        <w:t>artículo</w:t>
      </w:r>
      <w:r>
        <w:rPr>
          <w:spacing w:val="-5"/>
        </w:rPr>
        <w:t> </w:t>
      </w:r>
      <w:r>
        <w:rPr/>
        <w:t>3o.</w:t>
      </w:r>
      <w:r>
        <w:rPr>
          <w:spacing w:val="-5"/>
        </w:rPr>
        <w:t> </w:t>
      </w:r>
      <w:r>
        <w:rPr/>
        <w:t>de</w:t>
      </w:r>
      <w:r>
        <w:rPr>
          <w:spacing w:val="-4"/>
        </w:rPr>
        <w:t> </w:t>
      </w:r>
      <w:r>
        <w:rPr/>
        <w:t>esta</w:t>
      </w:r>
      <w:r>
        <w:rPr>
          <w:spacing w:val="-3"/>
        </w:rPr>
        <w:t> </w:t>
      </w:r>
      <w:r>
        <w:rPr>
          <w:spacing w:val="-4"/>
        </w:rPr>
        <w:t>Ley.</w:t>
      </w:r>
    </w:p>
    <w:p>
      <w:pPr>
        <w:pStyle w:val="BodyText"/>
        <w:spacing w:before="228"/>
        <w:ind w:left="1" w:right="146" w:firstLine="288"/>
        <w:jc w:val="both"/>
      </w:pPr>
      <w:bookmarkStart w:name="Artículo_Sexto" w:id="74"/>
      <w:bookmarkEnd w:id="74"/>
      <w:r>
        <w:rPr/>
      </w:r>
      <w:r>
        <w:rPr>
          <w:rFonts w:ascii="Arial" w:hAnsi="Arial"/>
          <w:b/>
        </w:rPr>
        <w:t>Artículo Sexto.- </w:t>
      </w:r>
      <w:r>
        <w:rPr/>
        <w:t>Los Estados que</w:t>
      </w:r>
      <w:r>
        <w:rPr>
          <w:spacing w:val="-1"/>
        </w:rPr>
        <w:t> </w:t>
      </w:r>
      <w:r>
        <w:rPr/>
        <w:t>se adhieran</w:t>
      </w:r>
      <w:r>
        <w:rPr>
          <w:spacing w:val="-1"/>
        </w:rPr>
        <w:t> </w:t>
      </w:r>
      <w:r>
        <w:rPr/>
        <w:t>al Sistema</w:t>
      </w:r>
      <w:r>
        <w:rPr>
          <w:spacing w:val="-1"/>
        </w:rPr>
        <w:t> </w:t>
      </w:r>
      <w:r>
        <w:rPr/>
        <w:t>Nacional de</w:t>
      </w:r>
      <w:r>
        <w:rPr>
          <w:spacing w:val="-2"/>
        </w:rPr>
        <w:t> </w:t>
      </w:r>
      <w:r>
        <w:rPr/>
        <w:t>Coordinación</w:t>
      </w:r>
      <w:r>
        <w:rPr>
          <w:spacing w:val="-2"/>
        </w:rPr>
        <w:t> </w:t>
      </w:r>
      <w:r>
        <w:rPr/>
        <w:t>Fiscal y</w:t>
      </w:r>
      <w:r>
        <w:rPr>
          <w:spacing w:val="-2"/>
        </w:rPr>
        <w:t> </w:t>
      </w:r>
      <w:r>
        <w:rPr/>
        <w:t>el Distrito Federal, percibirán, a partir de la fecha en que esta Ley entre en vigor, las participaciones que les correspondan sobre la recaudación</w:t>
      </w:r>
      <w:r>
        <w:rPr>
          <w:spacing w:val="-1"/>
        </w:rPr>
        <w:t> </w:t>
      </w:r>
      <w:r>
        <w:rPr/>
        <w:t>federal que se obtenga a partir del 1o. de enero de</w:t>
      </w:r>
      <w:r>
        <w:rPr>
          <w:spacing w:val="-1"/>
        </w:rPr>
        <w:t> </w:t>
      </w:r>
      <w:r>
        <w:rPr/>
        <w:t>1980, aun cuando por los cuales ya no percibirán participaciones conforme a las diferentes leyes y decretos que las</w:t>
      </w:r>
      <w:r>
        <w:rPr>
          <w:spacing w:val="40"/>
        </w:rPr>
        <w:t> </w:t>
      </w:r>
      <w:r>
        <w:rPr/>
        <w:t>otorguen o que queden derogadas por la Ley del Impuesto al Valor Agregado.</w:t>
      </w:r>
    </w:p>
    <w:p>
      <w:pPr>
        <w:pStyle w:val="BodyText"/>
        <w:spacing w:before="3"/>
      </w:pPr>
    </w:p>
    <w:p>
      <w:pPr>
        <w:pStyle w:val="BodyText"/>
        <w:ind w:left="1" w:right="148" w:firstLine="288"/>
        <w:jc w:val="both"/>
      </w:pPr>
      <w:r>
        <w:rPr/>
        <w:t>Las</w:t>
      </w:r>
      <w:r>
        <w:rPr>
          <w:spacing w:val="-3"/>
        </w:rPr>
        <w:t> </w:t>
      </w:r>
      <w:r>
        <w:rPr/>
        <w:t>entidades</w:t>
      </w:r>
      <w:r>
        <w:rPr>
          <w:spacing w:val="-3"/>
        </w:rPr>
        <w:t> </w:t>
      </w:r>
      <w:r>
        <w:rPr/>
        <w:t>que</w:t>
      </w:r>
      <w:r>
        <w:rPr>
          <w:spacing w:val="-3"/>
        </w:rPr>
        <w:t> </w:t>
      </w:r>
      <w:r>
        <w:rPr/>
        <w:t>no</w:t>
      </w:r>
      <w:r>
        <w:rPr>
          <w:spacing w:val="-5"/>
        </w:rPr>
        <w:t> </w:t>
      </w:r>
      <w:r>
        <w:rPr/>
        <w:t>se</w:t>
      </w:r>
      <w:r>
        <w:rPr>
          <w:spacing w:val="-2"/>
        </w:rPr>
        <w:t> </w:t>
      </w:r>
      <w:r>
        <w:rPr/>
        <w:t>adhieran</w:t>
      </w:r>
      <w:r>
        <w:rPr>
          <w:spacing w:val="-2"/>
        </w:rPr>
        <w:t> </w:t>
      </w:r>
      <w:r>
        <w:rPr/>
        <w:t>al</w:t>
      </w:r>
      <w:r>
        <w:rPr>
          <w:spacing w:val="-3"/>
        </w:rPr>
        <w:t> </w:t>
      </w:r>
      <w:r>
        <w:rPr/>
        <w:t>Sistema</w:t>
      </w:r>
      <w:r>
        <w:rPr>
          <w:spacing w:val="-4"/>
        </w:rPr>
        <w:t> </w:t>
      </w:r>
      <w:r>
        <w:rPr/>
        <w:t>Nacional</w:t>
      </w:r>
      <w:r>
        <w:rPr>
          <w:spacing w:val="-5"/>
        </w:rPr>
        <w:t> </w:t>
      </w:r>
      <w:r>
        <w:rPr/>
        <w:t>de</w:t>
      </w:r>
      <w:r>
        <w:rPr>
          <w:spacing w:val="-2"/>
        </w:rPr>
        <w:t> </w:t>
      </w:r>
      <w:r>
        <w:rPr/>
        <w:t>Coordinación</w:t>
      </w:r>
      <w:r>
        <w:rPr>
          <w:spacing w:val="-4"/>
        </w:rPr>
        <w:t> </w:t>
      </w:r>
      <w:r>
        <w:rPr/>
        <w:t>Fiscal</w:t>
      </w:r>
      <w:r>
        <w:rPr>
          <w:spacing w:val="-3"/>
        </w:rPr>
        <w:t> </w:t>
      </w:r>
      <w:r>
        <w:rPr/>
        <w:t>continuarán</w:t>
      </w:r>
      <w:r>
        <w:rPr>
          <w:spacing w:val="-4"/>
        </w:rPr>
        <w:t> </w:t>
      </w:r>
      <w:r>
        <w:rPr/>
        <w:t>percibiendo las participaciones que les correspondan, conforme a las leyes y decretos que quedarán derogados por los impuestos causados con anterioridad a dicha derogación y las de impuestos especiales a que se refiere el inciso 5o., fracción XXIX, del artículo 73 de la Constitución Política de los Estados Unidos Mexicanos, que subsistan.</w:t>
      </w:r>
    </w:p>
    <w:p>
      <w:pPr>
        <w:pStyle w:val="BodyText"/>
      </w:pPr>
    </w:p>
    <w:p>
      <w:pPr>
        <w:pStyle w:val="BodyText"/>
        <w:ind w:left="1" w:right="152" w:firstLine="288"/>
        <w:jc w:val="both"/>
      </w:pPr>
      <w:r>
        <w:rPr/>
        <w:t>Lo dispuesto en este precepto es aplicable a las participaciones de los Municipios que se pagan directamente por la Federación.</w:t>
      </w:r>
    </w:p>
    <w:p>
      <w:pPr>
        <w:spacing w:before="227"/>
        <w:ind w:left="1" w:right="144" w:firstLine="288"/>
        <w:jc w:val="both"/>
        <w:rPr>
          <w:sz w:val="20"/>
        </w:rPr>
      </w:pPr>
      <w:r>
        <w:rPr>
          <w:sz w:val="20"/>
        </w:rPr>
        <w:t>México, D.F., 22 de diciembre de 1978.- </w:t>
      </w:r>
      <w:r>
        <w:rPr>
          <w:rFonts w:ascii="Arial" w:hAnsi="Arial"/>
          <w:b/>
          <w:sz w:val="20"/>
        </w:rPr>
        <w:t>Antonio Riva Palacio López</w:t>
      </w:r>
      <w:r>
        <w:rPr>
          <w:sz w:val="20"/>
        </w:rPr>
        <w:t>, D.P.- </w:t>
      </w:r>
      <w:r>
        <w:rPr>
          <w:rFonts w:ascii="Arial" w:hAnsi="Arial"/>
          <w:b/>
          <w:sz w:val="20"/>
        </w:rPr>
        <w:t>Antonio Ocampo Ramírez</w:t>
      </w:r>
      <w:r>
        <w:rPr>
          <w:sz w:val="20"/>
        </w:rPr>
        <w:t>, S.P.- </w:t>
      </w:r>
      <w:r>
        <w:rPr>
          <w:rFonts w:ascii="Arial" w:hAnsi="Arial"/>
          <w:b/>
          <w:sz w:val="20"/>
        </w:rPr>
        <w:t>Pedro Avila Hernández</w:t>
      </w:r>
      <w:r>
        <w:rPr>
          <w:sz w:val="20"/>
        </w:rPr>
        <w:t>, D.S.- </w:t>
      </w:r>
      <w:r>
        <w:rPr>
          <w:rFonts w:ascii="Arial" w:hAnsi="Arial"/>
          <w:b/>
          <w:sz w:val="20"/>
        </w:rPr>
        <w:t>Joaquín E. Repetto Ocampo</w:t>
      </w:r>
      <w:r>
        <w:rPr>
          <w:sz w:val="20"/>
        </w:rPr>
        <w:t>, S.S.- Rúbricas.”</w:t>
      </w:r>
    </w:p>
    <w:p>
      <w:pPr>
        <w:spacing w:after="0"/>
        <w:jc w:val="both"/>
        <w:rPr>
          <w:sz w:val="20"/>
        </w:rPr>
        <w:sectPr>
          <w:pgSz w:w="12250" w:h="15850"/>
          <w:pgMar w:header="724" w:footer="712" w:top="1880" w:bottom="900" w:left="1417" w:right="1275"/>
        </w:sectPr>
      </w:pPr>
    </w:p>
    <w:p>
      <w:pPr>
        <w:pStyle w:val="BodyText"/>
        <w:spacing w:before="67"/>
      </w:pPr>
    </w:p>
    <w:p>
      <w:pPr>
        <w:pStyle w:val="BodyText"/>
        <w:ind w:left="1" w:right="140"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veintidós días del mes de diciembre de mil novecientos setenta y ocho.- </w:t>
      </w:r>
      <w:r>
        <w:rPr>
          <w:rFonts w:ascii="Arial" w:hAnsi="Arial"/>
          <w:b/>
        </w:rPr>
        <w:t>José López Portillo</w:t>
      </w:r>
      <w:r>
        <w:rPr/>
        <w:t>.- Rúbrica.- El Secretario de Hacienda y</w:t>
      </w:r>
      <w:r>
        <w:rPr>
          <w:spacing w:val="-3"/>
        </w:rPr>
        <w:t> </w:t>
      </w:r>
      <w:r>
        <w:rPr/>
        <w:t>Crédito Público, </w:t>
      </w:r>
      <w:r>
        <w:rPr>
          <w:rFonts w:ascii="Arial" w:hAnsi="Arial"/>
          <w:b/>
        </w:rPr>
        <w:t>David Ibarra Muñoz</w:t>
      </w:r>
      <w:r>
        <w:rPr/>
        <w:t>.-</w:t>
      </w:r>
      <w:r>
        <w:rPr>
          <w:spacing w:val="-1"/>
        </w:rPr>
        <w:t> </w:t>
      </w:r>
      <w:r>
        <w:rPr/>
        <w:t>Rúbrica.- El Secretario de Gobernación, </w:t>
      </w:r>
      <w:r>
        <w:rPr>
          <w:rFonts w:ascii="Arial" w:hAnsi="Arial"/>
          <w:b/>
        </w:rPr>
        <w:t>Jesús Reyes Heroles</w:t>
      </w:r>
      <w:r>
        <w:rPr/>
        <w:t>.- Rúbrica.</w:t>
      </w:r>
    </w:p>
    <w:p>
      <w:pPr>
        <w:pStyle w:val="BodyText"/>
        <w:spacing w:after="0"/>
        <w:jc w:val="both"/>
        <w:sectPr>
          <w:pgSz w:w="12250" w:h="15850"/>
          <w:pgMar w:header="724" w:footer="712" w:top="1880" w:bottom="900" w:left="1417" w:right="1275"/>
        </w:sectPr>
      </w:pPr>
    </w:p>
    <w:p>
      <w:pPr>
        <w:pStyle w:val="BodyText"/>
        <w:spacing w:before="45"/>
        <w:rPr>
          <w:sz w:val="22"/>
        </w:rPr>
      </w:pPr>
    </w:p>
    <w:p>
      <w:pPr>
        <w:spacing w:line="260" w:lineRule="exact" w:before="1"/>
        <w:ind w:left="0" w:right="139" w:firstLine="0"/>
        <w:jc w:val="center"/>
        <w:rPr>
          <w:rFonts w:ascii="Tahoma" w:hAnsi="Tahoma"/>
          <w:b/>
          <w:sz w:val="22"/>
        </w:rPr>
      </w:pPr>
      <w:bookmarkStart w:name="TRANSITORIOS_DE_DECRETOS_DE_REFORMA" w:id="75"/>
      <w:bookmarkEnd w:id="75"/>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spacing w:line="272" w:lineRule="exact" w:before="0"/>
        <w:ind w:left="1156" w:right="1293" w:firstLine="0"/>
        <w:jc w:val="center"/>
        <w:rPr>
          <w:rFonts w:ascii="Tahoma"/>
          <w:sz w:val="23"/>
        </w:rPr>
      </w:pPr>
      <w:r>
        <w:rPr>
          <w:rFonts w:ascii="Tahoma"/>
          <w:color w:val="008000"/>
          <w:spacing w:val="-2"/>
          <w:sz w:val="23"/>
        </w:rPr>
        <w:t>A</w:t>
      </w:r>
      <w:r>
        <w:rPr>
          <w:rFonts w:ascii="Tahoma"/>
          <w:color w:val="008000"/>
          <w:spacing w:val="-12"/>
          <w:sz w:val="23"/>
        </w:rPr>
        <w:t> </w:t>
      </w:r>
      <w:r>
        <w:rPr>
          <w:rFonts w:ascii="Tahoma"/>
          <w:color w:val="008000"/>
          <w:spacing w:val="-2"/>
          <w:sz w:val="23"/>
        </w:rPr>
        <w:t>partir</w:t>
      </w:r>
      <w:r>
        <w:rPr>
          <w:rFonts w:ascii="Tahoma"/>
          <w:color w:val="008000"/>
          <w:spacing w:val="-13"/>
          <w:sz w:val="23"/>
        </w:rPr>
        <w:t> </w:t>
      </w:r>
      <w:r>
        <w:rPr>
          <w:rFonts w:ascii="Tahoma"/>
          <w:color w:val="008000"/>
          <w:spacing w:val="-2"/>
          <w:sz w:val="23"/>
        </w:rPr>
        <w:t>de</w:t>
      </w:r>
      <w:r>
        <w:rPr>
          <w:rFonts w:ascii="Tahoma"/>
          <w:color w:val="008000"/>
          <w:spacing w:val="-12"/>
          <w:sz w:val="23"/>
        </w:rPr>
        <w:t> </w:t>
      </w:r>
      <w:r>
        <w:rPr>
          <w:rFonts w:ascii="Tahoma"/>
          <w:color w:val="008000"/>
          <w:spacing w:val="-4"/>
          <w:sz w:val="23"/>
        </w:rPr>
        <w:t>1993</w:t>
      </w:r>
    </w:p>
    <w:p>
      <w:pPr>
        <w:pStyle w:val="Heading2"/>
        <w:spacing w:before="223"/>
        <w:ind w:right="153"/>
        <w:jc w:val="left"/>
      </w:pPr>
      <w:r>
        <w:rPr/>
        <w:t>Ley</w:t>
      </w:r>
      <w:r>
        <w:rPr>
          <w:spacing w:val="-2"/>
        </w:rPr>
        <w:t> </w:t>
      </w:r>
      <w:r>
        <w:rPr/>
        <w:t>que establece las reducciones impositivas acordadas en el Pacto para la Estabilidad, la Competitividad y el Empleo.</w:t>
      </w:r>
    </w:p>
    <w:p>
      <w:pPr>
        <w:spacing w:before="232"/>
        <w:ind w:left="1156" w:right="1298" w:firstLine="0"/>
        <w:jc w:val="center"/>
        <w:rPr>
          <w:sz w:val="16"/>
        </w:rPr>
      </w:pPr>
      <w:r>
        <w:rPr>
          <w:sz w:val="16"/>
        </w:rPr>
        <w:t>Publicada</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1993</w:t>
      </w:r>
    </w:p>
    <w:p>
      <w:pPr>
        <w:pStyle w:val="BodyText"/>
        <w:spacing w:before="46"/>
        <w:rPr>
          <w:sz w:val="16"/>
        </w:rPr>
      </w:pPr>
    </w:p>
    <w:p>
      <w:pPr>
        <w:spacing w:before="0"/>
        <w:ind w:left="1156" w:right="1301" w:firstLine="0"/>
        <w:jc w:val="center"/>
        <w:rPr>
          <w:rFonts w:ascii="Arial"/>
          <w:b/>
          <w:sz w:val="20"/>
        </w:rPr>
      </w:pPr>
      <w:r>
        <w:rPr>
          <w:rFonts w:ascii="Arial"/>
          <w:b/>
          <w:sz w:val="20"/>
        </w:rPr>
        <w:t>LEY</w:t>
      </w:r>
      <w:r>
        <w:rPr>
          <w:rFonts w:ascii="Arial"/>
          <w:b/>
          <w:spacing w:val="-7"/>
          <w:sz w:val="20"/>
        </w:rPr>
        <w:t> </w:t>
      </w:r>
      <w:r>
        <w:rPr>
          <w:rFonts w:ascii="Arial"/>
          <w:b/>
          <w:sz w:val="20"/>
        </w:rPr>
        <w:t>DE</w:t>
      </w:r>
      <w:r>
        <w:rPr>
          <w:rFonts w:ascii="Arial"/>
          <w:b/>
          <w:spacing w:val="-8"/>
          <w:sz w:val="20"/>
        </w:rPr>
        <w:t> </w:t>
      </w:r>
      <w:r>
        <w:rPr>
          <w:rFonts w:ascii="Arial"/>
          <w:b/>
          <w:sz w:val="20"/>
        </w:rPr>
        <w:t>COORDINACION</w:t>
      </w:r>
      <w:r>
        <w:rPr>
          <w:rFonts w:ascii="Arial"/>
          <w:b/>
          <w:spacing w:val="-6"/>
          <w:sz w:val="20"/>
        </w:rPr>
        <w:t> </w:t>
      </w:r>
      <w:r>
        <w:rPr>
          <w:rFonts w:ascii="Arial"/>
          <w:b/>
          <w:spacing w:val="-2"/>
          <w:sz w:val="20"/>
        </w:rPr>
        <w:t>FISCAL</w:t>
      </w:r>
    </w:p>
    <w:p>
      <w:pPr>
        <w:pStyle w:val="BodyText"/>
        <w:spacing w:before="1"/>
        <w:rPr>
          <w:rFonts w:ascii="Arial"/>
          <w:b/>
        </w:rPr>
      </w:pPr>
    </w:p>
    <w:p>
      <w:pPr>
        <w:pStyle w:val="BodyText"/>
        <w:ind w:left="1" w:right="139" w:firstLine="288"/>
        <w:jc w:val="both"/>
      </w:pPr>
      <w:r>
        <w:rPr>
          <w:rFonts w:ascii="Arial" w:hAnsi="Arial"/>
          <w:b/>
        </w:rPr>
        <w:t>ARTICULO SEGUNDO.- </w:t>
      </w:r>
      <w:r>
        <w:rPr/>
        <w:t>Se </w:t>
      </w:r>
      <w:r>
        <w:rPr>
          <w:rFonts w:ascii="Arial" w:hAnsi="Arial"/>
          <w:b/>
        </w:rPr>
        <w:t>REFORMAN </w:t>
      </w:r>
      <w:r>
        <w:rPr/>
        <w:t>los artículos 2º,</w:t>
      </w:r>
      <w:r>
        <w:rPr>
          <w:spacing w:val="40"/>
        </w:rPr>
        <w:t> </w:t>
      </w:r>
      <w:r>
        <w:rPr/>
        <w:t>segundo y tercer párrafos y el párrafo siguiente a la fracción III; 2º- A, fracciones II</w:t>
      </w:r>
      <w:r>
        <w:rPr>
          <w:spacing w:val="17"/>
        </w:rPr>
        <w:t> </w:t>
      </w:r>
      <w:r>
        <w:rPr/>
        <w:t>y III, primer párrafo</w:t>
      </w:r>
      <w:r>
        <w:rPr>
          <w:spacing w:val="17"/>
        </w:rPr>
        <w:t> </w:t>
      </w:r>
      <w:r>
        <w:rPr/>
        <w:t>y el actual inciso 2, mismo que pasa a</w:t>
      </w:r>
      <w:r>
        <w:rPr>
          <w:spacing w:val="40"/>
        </w:rPr>
        <w:t> </w:t>
      </w:r>
      <w:r>
        <w:rPr/>
        <w:t>ser el subinciso 2 del inciso a) de la citada fracción III; 4º, quinto párrafo; 10-A, fracción</w:t>
      </w:r>
      <w:r>
        <w:rPr>
          <w:spacing w:val="-1"/>
        </w:rPr>
        <w:t> </w:t>
      </w:r>
      <w:r>
        <w:rPr/>
        <w:t>I, primer párrafo y cuarto</w:t>
      </w:r>
      <w:r>
        <w:rPr>
          <w:spacing w:val="3"/>
        </w:rPr>
        <w:t> </w:t>
      </w:r>
      <w:r>
        <w:rPr/>
        <w:t>párrafo</w:t>
      </w:r>
      <w:r>
        <w:rPr>
          <w:spacing w:val="3"/>
        </w:rPr>
        <w:t> </w:t>
      </w:r>
      <w:r>
        <w:rPr/>
        <w:t>del</w:t>
      </w:r>
      <w:r>
        <w:rPr>
          <w:spacing w:val="2"/>
        </w:rPr>
        <w:t> </w:t>
      </w:r>
      <w:r>
        <w:rPr/>
        <w:t>artículo;</w:t>
      </w:r>
      <w:r>
        <w:rPr>
          <w:spacing w:val="6"/>
        </w:rPr>
        <w:t> </w:t>
      </w:r>
      <w:r>
        <w:rPr/>
        <w:t>10-B,</w:t>
      </w:r>
      <w:r>
        <w:rPr>
          <w:spacing w:val="3"/>
        </w:rPr>
        <w:t> </w:t>
      </w:r>
      <w:r>
        <w:rPr/>
        <w:t>tercer</w:t>
      </w:r>
      <w:r>
        <w:rPr>
          <w:spacing w:val="4"/>
        </w:rPr>
        <w:t> </w:t>
      </w:r>
      <w:r>
        <w:rPr/>
        <w:t>párrafo;</w:t>
      </w:r>
      <w:r>
        <w:rPr>
          <w:spacing w:val="3"/>
        </w:rPr>
        <w:t> </w:t>
      </w:r>
      <w:r>
        <w:rPr/>
        <w:t>se</w:t>
      </w:r>
      <w:r>
        <w:rPr>
          <w:spacing w:val="10"/>
        </w:rPr>
        <w:t> </w:t>
      </w:r>
      <w:r>
        <w:rPr>
          <w:rFonts w:ascii="Arial" w:hAnsi="Arial"/>
          <w:b/>
        </w:rPr>
        <w:t>ADICIONAN</w:t>
      </w:r>
      <w:r>
        <w:rPr>
          <w:rFonts w:ascii="Arial" w:hAnsi="Arial"/>
          <w:b/>
          <w:spacing w:val="5"/>
        </w:rPr>
        <w:t> </w:t>
      </w:r>
      <w:r>
        <w:rPr/>
        <w:t>los</w:t>
      </w:r>
      <w:r>
        <w:rPr>
          <w:spacing w:val="4"/>
        </w:rPr>
        <w:t> </w:t>
      </w:r>
      <w:r>
        <w:rPr/>
        <w:t>artículos</w:t>
      </w:r>
      <w:r>
        <w:rPr>
          <w:spacing w:val="4"/>
        </w:rPr>
        <w:t> </w:t>
      </w:r>
      <w:r>
        <w:rPr/>
        <w:t>2º-A,</w:t>
      </w:r>
      <w:r>
        <w:rPr>
          <w:spacing w:val="3"/>
        </w:rPr>
        <w:t> </w:t>
      </w:r>
      <w:r>
        <w:rPr/>
        <w:t>fracción</w:t>
      </w:r>
      <w:r>
        <w:rPr>
          <w:spacing w:val="3"/>
        </w:rPr>
        <w:t> </w:t>
      </w:r>
      <w:r>
        <w:rPr/>
        <w:t>III,</w:t>
      </w:r>
      <w:r>
        <w:rPr>
          <w:spacing w:val="3"/>
        </w:rPr>
        <w:t> </w:t>
      </w:r>
      <w:r>
        <w:rPr/>
        <w:t>los</w:t>
      </w:r>
      <w:r>
        <w:rPr>
          <w:spacing w:val="4"/>
        </w:rPr>
        <w:t> </w:t>
      </w:r>
      <w:r>
        <w:rPr>
          <w:spacing w:val="-2"/>
        </w:rPr>
        <w:t>incisos</w:t>
      </w:r>
    </w:p>
    <w:p>
      <w:pPr>
        <w:pStyle w:val="ListParagraph"/>
        <w:numPr>
          <w:ilvl w:val="0"/>
          <w:numId w:val="16"/>
        </w:numPr>
        <w:tabs>
          <w:tab w:pos="269" w:val="left" w:leader="none"/>
        </w:tabs>
        <w:spacing w:line="240" w:lineRule="auto" w:before="2" w:after="0"/>
        <w:ind w:left="1" w:right="151" w:firstLine="0"/>
        <w:jc w:val="both"/>
        <w:rPr>
          <w:sz w:val="20"/>
        </w:rPr>
      </w:pPr>
      <w:r>
        <w:rPr>
          <w:sz w:val="20"/>
        </w:rPr>
        <w:t>y b); 10-A, con un sexto párrafo, pasando el actual sexto a ser séptimo párrafo, de y a la Ley de Coordinación Fiscal, para quedar como sigue:</w:t>
      </w:r>
    </w:p>
    <w:p>
      <w:pPr>
        <w:pStyle w:val="BodyText"/>
        <w:spacing w:before="1"/>
      </w:pPr>
    </w:p>
    <w:p>
      <w:pPr>
        <w:spacing w:before="0"/>
        <w:ind w:left="289" w:right="0" w:firstLine="0"/>
        <w:jc w:val="left"/>
        <w:rPr>
          <w:sz w:val="20"/>
        </w:rPr>
      </w:pPr>
      <w:r>
        <w:rPr>
          <w:spacing w:val="-2"/>
          <w:sz w:val="20"/>
        </w:rPr>
        <w:t>..........</w:t>
      </w:r>
    </w:p>
    <w:p>
      <w:pPr>
        <w:pStyle w:val="Heading1"/>
        <w:spacing w:before="224"/>
        <w:ind w:left="1079" w:right="0"/>
        <w:jc w:val="left"/>
      </w:pPr>
      <w:r>
        <w:rPr/>
        <w:t>DISPOSICION</w:t>
      </w:r>
      <w:r>
        <w:rPr>
          <w:spacing w:val="-6"/>
        </w:rPr>
        <w:t> </w:t>
      </w:r>
      <w:r>
        <w:rPr/>
        <w:t>TRANSITORIA</w:t>
      </w:r>
      <w:r>
        <w:rPr>
          <w:spacing w:val="-10"/>
        </w:rPr>
        <w:t> </w:t>
      </w:r>
      <w:r>
        <w:rPr/>
        <w:t>DE</w:t>
      </w:r>
      <w:r>
        <w:rPr>
          <w:spacing w:val="-6"/>
        </w:rPr>
        <w:t> </w:t>
      </w:r>
      <w:r>
        <w:rPr/>
        <w:t>LA</w:t>
      </w:r>
      <w:r>
        <w:rPr>
          <w:spacing w:val="-13"/>
        </w:rPr>
        <w:t> </w:t>
      </w:r>
      <w:r>
        <w:rPr/>
        <w:t>LEY</w:t>
      </w:r>
      <w:r>
        <w:rPr>
          <w:spacing w:val="-5"/>
        </w:rPr>
        <w:t> </w:t>
      </w:r>
      <w:r>
        <w:rPr/>
        <w:t>DE</w:t>
      </w:r>
      <w:r>
        <w:rPr>
          <w:spacing w:val="-4"/>
        </w:rPr>
        <w:t> </w:t>
      </w:r>
      <w:r>
        <w:rPr/>
        <w:t>COORDINACION</w:t>
      </w:r>
      <w:r>
        <w:rPr>
          <w:spacing w:val="-5"/>
        </w:rPr>
        <w:t> </w:t>
      </w:r>
      <w:r>
        <w:rPr>
          <w:spacing w:val="-2"/>
        </w:rPr>
        <w:t>FISCAL</w:t>
      </w:r>
    </w:p>
    <w:p>
      <w:pPr>
        <w:pStyle w:val="BodyText"/>
        <w:spacing w:before="2"/>
        <w:rPr>
          <w:rFonts w:ascii="Arial"/>
          <w:b/>
        </w:rPr>
      </w:pPr>
    </w:p>
    <w:p>
      <w:pPr>
        <w:pStyle w:val="BodyText"/>
        <w:ind w:left="1" w:right="144" w:firstLine="288"/>
        <w:jc w:val="both"/>
      </w:pPr>
      <w:r>
        <w:rPr>
          <w:rFonts w:ascii="Arial" w:hAnsi="Arial"/>
          <w:b/>
        </w:rPr>
        <w:t>ARTICULO TERCERO.- </w:t>
      </w:r>
      <w:r>
        <w:rPr/>
        <w:t>Las entidades federativas contarán con un plazo de cuatro meses a partir de la entrada en vigor de lo dispuesto en el ARTICULO SEGUNDO de esta Ley, para proponer a la Reunión Nacional</w:t>
      </w:r>
      <w:r>
        <w:rPr>
          <w:spacing w:val="-1"/>
        </w:rPr>
        <w:t> </w:t>
      </w:r>
      <w:r>
        <w:rPr/>
        <w:t>de</w:t>
      </w:r>
      <w:r>
        <w:rPr>
          <w:spacing w:val="-1"/>
        </w:rPr>
        <w:t> </w:t>
      </w:r>
      <w:r>
        <w:rPr/>
        <w:t>Funcionarios Fiscales, previo</w:t>
      </w:r>
      <w:r>
        <w:rPr>
          <w:spacing w:val="-1"/>
        </w:rPr>
        <w:t> </w:t>
      </w:r>
      <w:r>
        <w:rPr/>
        <w:t>dictamen</w:t>
      </w:r>
      <w:r>
        <w:rPr>
          <w:spacing w:val="-1"/>
        </w:rPr>
        <w:t> </w:t>
      </w:r>
      <w:r>
        <w:rPr/>
        <w:t>de la</w:t>
      </w:r>
      <w:r>
        <w:rPr>
          <w:spacing w:val="-1"/>
        </w:rPr>
        <w:t> </w:t>
      </w:r>
      <w:r>
        <w:rPr/>
        <w:t>Comisión Permanente de</w:t>
      </w:r>
      <w:r>
        <w:rPr>
          <w:spacing w:val="-1"/>
        </w:rPr>
        <w:t> </w:t>
      </w:r>
      <w:r>
        <w:rPr/>
        <w:t>Funcionarios Fiscales y conforme a las facultades establecidas en los artículos 19 y 21 de la Ley de Coordinación Fiscal, un programa de reordenamiento del comercio urbano en el ámbito de su competencia y jurisdicción, en los términos y plazos que determinen de mutuo acuerdo las citadas entidades federativas y el Gobierno Federal por conducto de la Secretaría de Hacienda y Crédito Público.</w:t>
      </w:r>
    </w:p>
    <w:p>
      <w:pPr>
        <w:pStyle w:val="BodyText"/>
        <w:spacing w:before="3"/>
      </w:pPr>
    </w:p>
    <w:p>
      <w:pPr>
        <w:pStyle w:val="BodyText"/>
        <w:ind w:left="1" w:right="140" w:firstLine="288"/>
        <w:jc w:val="both"/>
      </w:pPr>
      <w:r>
        <w:rPr/>
        <w:t>Durante el</w:t>
      </w:r>
      <w:r>
        <w:rPr>
          <w:spacing w:val="-1"/>
        </w:rPr>
        <w:t> </w:t>
      </w:r>
      <w:r>
        <w:rPr/>
        <w:t>período comprendido del</w:t>
      </w:r>
      <w:r>
        <w:rPr>
          <w:spacing w:val="-1"/>
        </w:rPr>
        <w:t> </w:t>
      </w:r>
      <w:r>
        <w:rPr/>
        <w:t>1o. de enero al</w:t>
      </w:r>
      <w:r>
        <w:rPr>
          <w:spacing w:val="-1"/>
        </w:rPr>
        <w:t> </w:t>
      </w:r>
      <w:r>
        <w:rPr/>
        <w:t>30</w:t>
      </w:r>
      <w:r>
        <w:rPr>
          <w:spacing w:val="-2"/>
        </w:rPr>
        <w:t> </w:t>
      </w:r>
      <w:r>
        <w:rPr/>
        <w:t>de</w:t>
      </w:r>
      <w:r>
        <w:rPr>
          <w:spacing w:val="-2"/>
        </w:rPr>
        <w:t> </w:t>
      </w:r>
      <w:r>
        <w:rPr/>
        <w:t>junio de 1994, el</w:t>
      </w:r>
      <w:r>
        <w:rPr>
          <w:spacing w:val="-1"/>
        </w:rPr>
        <w:t> </w:t>
      </w:r>
      <w:r>
        <w:rPr/>
        <w:t>porcentaje a que</w:t>
      </w:r>
      <w:r>
        <w:rPr>
          <w:spacing w:val="-2"/>
        </w:rPr>
        <w:t> </w:t>
      </w:r>
      <w:r>
        <w:rPr/>
        <w:t>se refiere el artículo 2o.A fracción III, inciso b) de la Ley de Coordinación Fiscal, será distribuido a las entidades federativas</w:t>
      </w:r>
      <w:r>
        <w:rPr>
          <w:spacing w:val="-2"/>
        </w:rPr>
        <w:t> </w:t>
      </w:r>
      <w:r>
        <w:rPr/>
        <w:t>coordinadas en</w:t>
      </w:r>
      <w:r>
        <w:rPr>
          <w:spacing w:val="-1"/>
        </w:rPr>
        <w:t> </w:t>
      </w:r>
      <w:r>
        <w:rPr/>
        <w:t>derechos,</w:t>
      </w:r>
      <w:r>
        <w:rPr>
          <w:spacing w:val="-1"/>
        </w:rPr>
        <w:t> </w:t>
      </w:r>
      <w:r>
        <w:rPr/>
        <w:t>conforme</w:t>
      </w:r>
      <w:r>
        <w:rPr>
          <w:spacing w:val="40"/>
        </w:rPr>
        <w:t> </w:t>
      </w:r>
      <w:r>
        <w:rPr/>
        <w:t>a</w:t>
      </w:r>
      <w:r>
        <w:rPr>
          <w:spacing w:val="-3"/>
        </w:rPr>
        <w:t> </w:t>
      </w:r>
      <w:r>
        <w:rPr/>
        <w:t>lo</w:t>
      </w:r>
      <w:r>
        <w:rPr>
          <w:spacing w:val="-1"/>
        </w:rPr>
        <w:t> </w:t>
      </w:r>
      <w:r>
        <w:rPr/>
        <w:t>dispuesto</w:t>
      </w:r>
      <w:r>
        <w:rPr>
          <w:spacing w:val="-1"/>
        </w:rPr>
        <w:t> </w:t>
      </w:r>
      <w:r>
        <w:rPr/>
        <w:t>en</w:t>
      </w:r>
      <w:r>
        <w:rPr>
          <w:spacing w:val="-1"/>
        </w:rPr>
        <w:t> </w:t>
      </w:r>
      <w:r>
        <w:rPr/>
        <w:t>el</w:t>
      </w:r>
      <w:r>
        <w:rPr>
          <w:spacing w:val="-4"/>
        </w:rPr>
        <w:t> </w:t>
      </w:r>
      <w:r>
        <w:rPr/>
        <w:t>citado</w:t>
      </w:r>
      <w:r>
        <w:rPr>
          <w:spacing w:val="-1"/>
        </w:rPr>
        <w:t> </w:t>
      </w:r>
      <w:r>
        <w:rPr/>
        <w:t>artículo</w:t>
      </w:r>
      <w:r>
        <w:rPr>
          <w:spacing w:val="-3"/>
        </w:rPr>
        <w:t> </w:t>
      </w:r>
      <w:r>
        <w:rPr/>
        <w:t>2º-A</w:t>
      </w:r>
      <w:r>
        <w:rPr>
          <w:spacing w:val="-3"/>
        </w:rPr>
        <w:t> </w:t>
      </w:r>
      <w:r>
        <w:rPr/>
        <w:t>fracción</w:t>
      </w:r>
      <w:r>
        <w:rPr>
          <w:spacing w:val="-4"/>
        </w:rPr>
        <w:t> </w:t>
      </w:r>
      <w:r>
        <w:rPr/>
        <w:t>III,</w:t>
      </w:r>
      <w:r>
        <w:rPr>
          <w:spacing w:val="-1"/>
        </w:rPr>
        <w:t> </w:t>
      </w:r>
      <w:r>
        <w:rPr/>
        <w:t>inciso</w:t>
      </w:r>
    </w:p>
    <w:p>
      <w:pPr>
        <w:pStyle w:val="ListParagraph"/>
        <w:numPr>
          <w:ilvl w:val="0"/>
          <w:numId w:val="17"/>
        </w:numPr>
        <w:tabs>
          <w:tab w:pos="232" w:val="left" w:leader="none"/>
        </w:tabs>
        <w:spacing w:line="240" w:lineRule="auto" w:before="2" w:after="0"/>
        <w:ind w:left="232" w:right="0" w:hanging="231"/>
        <w:jc w:val="both"/>
        <w:rPr>
          <w:sz w:val="20"/>
        </w:rPr>
      </w:pPr>
      <w:r>
        <w:rPr>
          <w:sz w:val="20"/>
        </w:rPr>
        <w:t>de</w:t>
      </w:r>
      <w:r>
        <w:rPr>
          <w:spacing w:val="-4"/>
          <w:sz w:val="20"/>
        </w:rPr>
        <w:t> </w:t>
      </w:r>
      <w:r>
        <w:rPr>
          <w:sz w:val="20"/>
        </w:rPr>
        <w:t>la</w:t>
      </w:r>
      <w:r>
        <w:rPr>
          <w:spacing w:val="-5"/>
          <w:sz w:val="20"/>
        </w:rPr>
        <w:t> </w:t>
      </w:r>
      <w:r>
        <w:rPr>
          <w:sz w:val="20"/>
        </w:rPr>
        <w:t>citada</w:t>
      </w:r>
      <w:r>
        <w:rPr>
          <w:spacing w:val="-5"/>
          <w:sz w:val="20"/>
        </w:rPr>
        <w:t> </w:t>
      </w:r>
      <w:r>
        <w:rPr>
          <w:spacing w:val="-4"/>
          <w:sz w:val="20"/>
        </w:rPr>
        <w:t>Ley.</w:t>
      </w:r>
    </w:p>
    <w:p>
      <w:pPr>
        <w:pStyle w:val="BodyText"/>
        <w:spacing w:before="228"/>
        <w:ind w:left="1" w:right="141" w:firstLine="288"/>
        <w:jc w:val="both"/>
      </w:pPr>
      <w:r>
        <w:rPr/>
        <w:t>La propia Secretaría y las entidades federativas, por conducto de la Comisión Permanente de Funcionarios Fiscales, revisarán periódicamente los resultados de dichos programas y determinarán a partir de julio de 1994, la procedencia del otorgamiento de la participación adicional a que se refiere la fracción III, inciso b) del artículo 2º-A de la Ley de Coordinación Fiscal.</w:t>
      </w:r>
    </w:p>
    <w:p>
      <w:pPr>
        <w:pStyle w:val="Heading1"/>
        <w:ind w:right="1292"/>
      </w:pPr>
      <w:r>
        <w:rPr/>
        <w:t>T</w:t>
      </w:r>
      <w:r>
        <w:rPr>
          <w:spacing w:val="-2"/>
        </w:rPr>
        <w:t> </w:t>
      </w:r>
      <w:r>
        <w:rPr/>
        <w:t>R</w:t>
      </w:r>
      <w:r>
        <w:rPr>
          <w:spacing w:val="2"/>
        </w:rPr>
        <w:t> </w:t>
      </w:r>
      <w:r>
        <w:rPr/>
        <w:t>A</w:t>
      </w:r>
      <w:r>
        <w:rPr>
          <w:spacing w:val="-5"/>
        </w:rPr>
        <w:t> </w:t>
      </w:r>
      <w:r>
        <w:rPr/>
        <w:t>N S I</w:t>
      </w:r>
      <w:r>
        <w:rPr>
          <w:spacing w:val="2"/>
        </w:rPr>
        <w:t> </w:t>
      </w:r>
      <w:r>
        <w:rPr/>
        <w:t>T</w:t>
      </w:r>
      <w:r>
        <w:rPr>
          <w:spacing w:val="-2"/>
        </w:rPr>
        <w:t> </w:t>
      </w:r>
      <w:r>
        <w:rPr/>
        <w:t>O</w:t>
      </w:r>
      <w:r>
        <w:rPr>
          <w:spacing w:val="-1"/>
        </w:rPr>
        <w:t> </w:t>
      </w:r>
      <w:r>
        <w:rPr/>
        <w:t>R</w:t>
      </w:r>
      <w:r>
        <w:rPr>
          <w:spacing w:val="-3"/>
        </w:rPr>
        <w:t> </w:t>
      </w:r>
      <w:r>
        <w:rPr/>
        <w:t>I</w:t>
      </w:r>
      <w:r>
        <w:rPr>
          <w:spacing w:val="-1"/>
        </w:rPr>
        <w:t> </w:t>
      </w:r>
      <w:r>
        <w:rPr/>
        <w:t>O</w:t>
      </w:r>
      <w:r>
        <w:rPr>
          <w:spacing w:val="2"/>
        </w:rPr>
        <w:t> </w:t>
      </w:r>
      <w:r>
        <w:rPr>
          <w:spacing w:val="-10"/>
        </w:rPr>
        <w:t>S</w:t>
      </w:r>
    </w:p>
    <w:p>
      <w:pPr>
        <w:pStyle w:val="BodyText"/>
        <w:spacing w:before="234"/>
        <w:ind w:left="289"/>
      </w:pPr>
      <w:r>
        <w:rPr>
          <w:rFonts w:ascii="Arial" w:hAnsi="Arial"/>
          <w:b/>
        </w:rPr>
        <w:t>PRIMERO.-</w:t>
      </w:r>
      <w:r>
        <w:rPr>
          <w:rFonts w:ascii="Arial" w:hAnsi="Arial"/>
          <w:b/>
          <w:spacing w:val="-5"/>
        </w:rPr>
        <w:t> </w:t>
      </w:r>
      <w:r>
        <w:rPr/>
        <w:t>La</w:t>
      </w:r>
      <w:r>
        <w:rPr>
          <w:spacing w:val="-6"/>
        </w:rPr>
        <w:t> </w:t>
      </w:r>
      <w:r>
        <w:rPr/>
        <w:t>presente</w:t>
      </w:r>
      <w:r>
        <w:rPr>
          <w:spacing w:val="-5"/>
        </w:rPr>
        <w:t> </w:t>
      </w:r>
      <w:r>
        <w:rPr/>
        <w:t>Ley</w:t>
      </w:r>
      <w:r>
        <w:rPr>
          <w:spacing w:val="-6"/>
        </w:rPr>
        <w:t> </w:t>
      </w:r>
      <w:r>
        <w:rPr/>
        <w:t>entrará</w:t>
      </w:r>
      <w:r>
        <w:rPr>
          <w:spacing w:val="-5"/>
        </w:rPr>
        <w:t> </w:t>
      </w:r>
      <w:r>
        <w:rPr/>
        <w:t>en</w:t>
      </w:r>
      <w:r>
        <w:rPr>
          <w:spacing w:val="-4"/>
        </w:rPr>
        <w:t> </w:t>
      </w:r>
      <w:r>
        <w:rPr/>
        <w:t>vigor</w:t>
      </w:r>
      <w:r>
        <w:rPr>
          <w:spacing w:val="-5"/>
        </w:rPr>
        <w:t> </w:t>
      </w:r>
      <w:r>
        <w:rPr/>
        <w:t>a</w:t>
      </w:r>
      <w:r>
        <w:rPr>
          <w:spacing w:val="-4"/>
        </w:rPr>
        <w:t> </w:t>
      </w:r>
      <w:r>
        <w:rPr/>
        <w:t>partir</w:t>
      </w:r>
      <w:r>
        <w:rPr>
          <w:spacing w:val="-2"/>
        </w:rPr>
        <w:t> </w:t>
      </w:r>
      <w:r>
        <w:rPr/>
        <w:t>del</w:t>
      </w:r>
      <w:r>
        <w:rPr>
          <w:spacing w:val="-6"/>
        </w:rPr>
        <w:t> </w:t>
      </w:r>
      <w:r>
        <w:rPr/>
        <w:t>1o.</w:t>
      </w:r>
      <w:r>
        <w:rPr>
          <w:spacing w:val="-6"/>
        </w:rPr>
        <w:t> </w:t>
      </w:r>
      <w:r>
        <w:rPr/>
        <w:t>de</w:t>
      </w:r>
      <w:r>
        <w:rPr>
          <w:spacing w:val="-5"/>
        </w:rPr>
        <w:t> </w:t>
      </w:r>
      <w:r>
        <w:rPr/>
        <w:t>enero</w:t>
      </w:r>
      <w:r>
        <w:rPr>
          <w:spacing w:val="-4"/>
        </w:rPr>
        <w:t> </w:t>
      </w:r>
      <w:r>
        <w:rPr/>
        <w:t>de</w:t>
      </w:r>
      <w:r>
        <w:rPr>
          <w:spacing w:val="-6"/>
        </w:rPr>
        <w:t> </w:t>
      </w:r>
      <w:r>
        <w:rPr>
          <w:spacing w:val="-2"/>
        </w:rPr>
        <w:t>1994.</w:t>
      </w:r>
    </w:p>
    <w:p>
      <w:pPr>
        <w:pStyle w:val="BodyText"/>
        <w:spacing w:line="242" w:lineRule="auto" w:before="228"/>
        <w:ind w:left="1" w:right="145" w:firstLine="288"/>
        <w:jc w:val="both"/>
      </w:pPr>
      <w:r>
        <w:rPr>
          <w:rFonts w:ascii="Arial" w:hAnsi="Arial"/>
          <w:b/>
        </w:rPr>
        <w:t>SEGUNDO.- </w:t>
      </w:r>
      <w:r>
        <w:rPr/>
        <w:t>Se establece como impuesto al comercio exterior, por los años de 1994 a 1996,</w:t>
      </w:r>
      <w:r>
        <w:rPr>
          <w:spacing w:val="40"/>
        </w:rPr>
        <w:t> </w:t>
      </w:r>
      <w:r>
        <w:rPr/>
        <w:t>inclusive, un impuesto a la exportación de energía eléctrica que se genere con vapor geotérmico. Este impuesto será del 13% del valor de exportación de la energía.</w:t>
      </w:r>
    </w:p>
    <w:p>
      <w:pPr>
        <w:pStyle w:val="BodyText"/>
        <w:spacing w:before="225"/>
        <w:ind w:left="1" w:right="146" w:firstLine="288"/>
        <w:jc w:val="both"/>
      </w:pPr>
      <w:r>
        <w:rPr/>
        <w:t>Del monto que se recaude por esta contribución se participará con un 6% al Municipio productor colindante con la frontera por el que se realice materialmente la exportación. El remanente se destinará a la Comisión Federal de Electricidad para el financiamiento de los programas de aislamiento térmico.</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right="154" w:firstLine="288"/>
        <w:jc w:val="both"/>
      </w:pPr>
      <w:r>
        <w:rPr/>
        <w:t>Sobre el impuesto</w:t>
      </w:r>
      <w:r>
        <w:rPr>
          <w:spacing w:val="-1"/>
        </w:rPr>
        <w:t> </w:t>
      </w:r>
      <w:r>
        <w:rPr/>
        <w:t>a que se refiere</w:t>
      </w:r>
      <w:r>
        <w:rPr>
          <w:spacing w:val="-1"/>
        </w:rPr>
        <w:t> </w:t>
      </w:r>
      <w:r>
        <w:rPr/>
        <w:t>este</w:t>
      </w:r>
      <w:r>
        <w:rPr>
          <w:spacing w:val="-1"/>
        </w:rPr>
        <w:t> </w:t>
      </w:r>
      <w:r>
        <w:rPr/>
        <w:t>artículo, no se pagará</w:t>
      </w:r>
      <w:r>
        <w:rPr>
          <w:spacing w:val="-1"/>
        </w:rPr>
        <w:t> </w:t>
      </w:r>
      <w:r>
        <w:rPr/>
        <w:t>el</w:t>
      </w:r>
      <w:r>
        <w:rPr>
          <w:spacing w:val="-2"/>
        </w:rPr>
        <w:t> </w:t>
      </w:r>
      <w:r>
        <w:rPr/>
        <w:t>adicional del</w:t>
      </w:r>
      <w:r>
        <w:rPr>
          <w:spacing w:val="-2"/>
        </w:rPr>
        <w:t> </w:t>
      </w:r>
      <w:r>
        <w:rPr/>
        <w:t>2% a</w:t>
      </w:r>
      <w:r>
        <w:rPr>
          <w:spacing w:val="-1"/>
        </w:rPr>
        <w:t> </w:t>
      </w:r>
      <w:r>
        <w:rPr/>
        <w:t>la</w:t>
      </w:r>
      <w:r>
        <w:rPr>
          <w:spacing w:val="-1"/>
        </w:rPr>
        <w:t> </w:t>
      </w:r>
      <w:r>
        <w:rPr/>
        <w:t>exportación que establece el artículo 35, fracción II, apartado B, inciso a) de la Ley Aduanera.</w:t>
      </w:r>
    </w:p>
    <w:p>
      <w:pPr>
        <w:spacing w:before="227"/>
        <w:ind w:left="1" w:right="141" w:firstLine="288"/>
        <w:jc w:val="both"/>
        <w:rPr>
          <w:sz w:val="20"/>
        </w:rPr>
      </w:pPr>
      <w:r>
        <w:rPr>
          <w:sz w:val="20"/>
        </w:rPr>
        <w:t>México, D.F. a 2 de diciembre de 1993.- Sen. </w:t>
      </w:r>
      <w:r>
        <w:rPr>
          <w:rFonts w:ascii="Arial" w:hAnsi="Arial"/>
          <w:b/>
          <w:sz w:val="20"/>
        </w:rPr>
        <w:t>Eduardo Robledo Rincón</w:t>
      </w:r>
      <w:r>
        <w:rPr>
          <w:sz w:val="20"/>
        </w:rPr>
        <w:t>, Presidente.- Dip. </w:t>
      </w:r>
      <w:r>
        <w:rPr>
          <w:rFonts w:ascii="Arial" w:hAnsi="Arial"/>
          <w:b/>
          <w:sz w:val="20"/>
        </w:rPr>
        <w:t>Cuauhtémoc López Sánchez</w:t>
      </w:r>
      <w:r>
        <w:rPr>
          <w:sz w:val="20"/>
        </w:rPr>
        <w:t>, Presidente.- Sen. </w:t>
      </w:r>
      <w:r>
        <w:rPr>
          <w:rFonts w:ascii="Arial" w:hAnsi="Arial"/>
          <w:b/>
          <w:sz w:val="20"/>
        </w:rPr>
        <w:t>Israel Soberanis Nogueda</w:t>
      </w:r>
      <w:r>
        <w:rPr>
          <w:sz w:val="20"/>
        </w:rPr>
        <w:t>, Secretario.- Dip. </w:t>
      </w:r>
      <w:r>
        <w:rPr>
          <w:rFonts w:ascii="Arial" w:hAnsi="Arial"/>
          <w:b/>
          <w:sz w:val="20"/>
        </w:rPr>
        <w:t>Juan Adrián Ramírez García</w:t>
      </w:r>
      <w:r>
        <w:rPr>
          <w:sz w:val="20"/>
        </w:rPr>
        <w:t>, Secretario.- Rúbricas".</w:t>
      </w:r>
    </w:p>
    <w:p>
      <w:pPr>
        <w:pStyle w:val="BodyText"/>
        <w:spacing w:before="4"/>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dos días del mes de diciembre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53"/>
        <w:jc w:val="left"/>
      </w:pPr>
      <w:r>
        <w:rPr/>
        <w:t>DECRETO que reforma, adiciona y deroga diversas disposiciones fiscales relacionadas con el comercio y las transacciones internacionales.</w:t>
      </w:r>
    </w:p>
    <w:p>
      <w:pPr>
        <w:spacing w:before="232"/>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spacing w:before="0"/>
        <w:ind w:left="1156" w:right="1301" w:firstLine="0"/>
        <w:jc w:val="center"/>
        <w:rPr>
          <w:rFonts w:ascii="Arial"/>
          <w:b/>
          <w:sz w:val="20"/>
        </w:rPr>
      </w:pPr>
      <w:r>
        <w:rPr>
          <w:rFonts w:ascii="Arial"/>
          <w:b/>
          <w:sz w:val="20"/>
        </w:rPr>
        <w:t>LEY</w:t>
      </w:r>
      <w:r>
        <w:rPr>
          <w:rFonts w:ascii="Arial"/>
          <w:b/>
          <w:spacing w:val="-7"/>
          <w:sz w:val="20"/>
        </w:rPr>
        <w:t> </w:t>
      </w:r>
      <w:r>
        <w:rPr>
          <w:rFonts w:ascii="Arial"/>
          <w:b/>
          <w:sz w:val="20"/>
        </w:rPr>
        <w:t>DE</w:t>
      </w:r>
      <w:r>
        <w:rPr>
          <w:rFonts w:ascii="Arial"/>
          <w:b/>
          <w:spacing w:val="-8"/>
          <w:sz w:val="20"/>
        </w:rPr>
        <w:t> </w:t>
      </w:r>
      <w:r>
        <w:rPr>
          <w:rFonts w:ascii="Arial"/>
          <w:b/>
          <w:sz w:val="20"/>
        </w:rPr>
        <w:t>COORDINACION</w:t>
      </w:r>
      <w:r>
        <w:rPr>
          <w:rFonts w:ascii="Arial"/>
          <w:b/>
          <w:spacing w:val="-6"/>
          <w:sz w:val="20"/>
        </w:rPr>
        <w:t> </w:t>
      </w:r>
      <w:r>
        <w:rPr>
          <w:rFonts w:ascii="Arial"/>
          <w:b/>
          <w:spacing w:val="-2"/>
          <w:sz w:val="20"/>
        </w:rPr>
        <w:t>FISCAL</w:t>
      </w:r>
    </w:p>
    <w:p>
      <w:pPr>
        <w:pStyle w:val="BodyText"/>
        <w:rPr>
          <w:rFonts w:ascii="Arial"/>
          <w:b/>
        </w:rPr>
      </w:pPr>
    </w:p>
    <w:p>
      <w:pPr>
        <w:pStyle w:val="BodyText"/>
        <w:spacing w:before="1"/>
        <w:ind w:left="1" w:right="142" w:firstLine="288"/>
        <w:jc w:val="both"/>
      </w:pPr>
      <w:r>
        <w:rPr>
          <w:rFonts w:ascii="Arial" w:hAnsi="Arial"/>
          <w:b/>
        </w:rPr>
        <w:t>ARTICULO NOVENO.- </w:t>
      </w:r>
      <w:r>
        <w:rPr/>
        <w:t>Se </w:t>
      </w:r>
      <w:r>
        <w:rPr>
          <w:rFonts w:ascii="Arial" w:hAnsi="Arial"/>
          <w:b/>
        </w:rPr>
        <w:t>REFORMAN </w:t>
      </w:r>
      <w:r>
        <w:rPr/>
        <w:t>los artículos 2o., tercer párrafo; 2o-A, fracciones I y II, primer párrafo; 4o., primer párrafo; 7o., primer y último párrafos, de la Ley de Coordinación Fiscal, para quedar como sigue:</w:t>
      </w:r>
    </w:p>
    <w:p>
      <w:pPr>
        <w:pStyle w:val="BodyText"/>
        <w:spacing w:before="2"/>
      </w:pPr>
    </w:p>
    <w:p>
      <w:pPr>
        <w:spacing w:before="0"/>
        <w:ind w:left="289" w:right="0" w:firstLine="0"/>
        <w:jc w:val="left"/>
        <w:rPr>
          <w:sz w:val="20"/>
        </w:rPr>
      </w:pPr>
      <w:r>
        <w:rPr>
          <w:spacing w:val="-2"/>
          <w:sz w:val="20"/>
        </w:rPr>
        <w:t>..........</w:t>
      </w:r>
    </w:p>
    <w:p>
      <w:pPr>
        <w:pStyle w:val="Heading1"/>
        <w:ind w:left="0" w:right="145"/>
      </w:pPr>
      <w:r>
        <w:rPr/>
        <w:t>DISPOSICION</w:t>
      </w:r>
      <w:r>
        <w:rPr>
          <w:spacing w:val="-6"/>
        </w:rPr>
        <w:t> </w:t>
      </w:r>
      <w:r>
        <w:rPr/>
        <w:t>DE</w:t>
      </w:r>
      <w:r>
        <w:rPr>
          <w:spacing w:val="-7"/>
        </w:rPr>
        <w:t> </w:t>
      </w:r>
      <w:r>
        <w:rPr/>
        <w:t>VIGENCIA</w:t>
      </w:r>
      <w:r>
        <w:rPr>
          <w:spacing w:val="-5"/>
        </w:rPr>
        <w:t> </w:t>
      </w:r>
      <w:r>
        <w:rPr/>
        <w:t>ANUAL</w:t>
      </w:r>
      <w:r>
        <w:rPr>
          <w:spacing w:val="-5"/>
        </w:rPr>
        <w:t> </w:t>
      </w:r>
      <w:r>
        <w:rPr/>
        <w:t>DE</w:t>
      </w:r>
      <w:r>
        <w:rPr>
          <w:spacing w:val="-6"/>
        </w:rPr>
        <w:t> </w:t>
      </w:r>
      <w:r>
        <w:rPr/>
        <w:t>LA</w:t>
      </w:r>
      <w:r>
        <w:rPr>
          <w:spacing w:val="-13"/>
        </w:rPr>
        <w:t> </w:t>
      </w:r>
      <w:r>
        <w:rPr/>
        <w:t>LEY</w:t>
      </w:r>
      <w:r>
        <w:rPr>
          <w:spacing w:val="-5"/>
        </w:rPr>
        <w:t> </w:t>
      </w:r>
      <w:r>
        <w:rPr/>
        <w:t>DE</w:t>
      </w:r>
      <w:r>
        <w:rPr>
          <w:spacing w:val="-5"/>
        </w:rPr>
        <w:t> </w:t>
      </w:r>
      <w:r>
        <w:rPr/>
        <w:t>COORDINACION</w:t>
      </w:r>
      <w:r>
        <w:rPr>
          <w:spacing w:val="-7"/>
        </w:rPr>
        <w:t> </w:t>
      </w:r>
      <w:r>
        <w:rPr>
          <w:spacing w:val="-2"/>
        </w:rPr>
        <w:t>FISCAL</w:t>
      </w:r>
    </w:p>
    <w:p>
      <w:pPr>
        <w:pStyle w:val="BodyText"/>
        <w:spacing w:before="232"/>
        <w:ind w:left="1" w:right="149" w:firstLine="288"/>
        <w:jc w:val="both"/>
      </w:pPr>
      <w:r>
        <w:rPr>
          <w:rFonts w:ascii="Arial" w:hAnsi="Arial"/>
          <w:b/>
        </w:rPr>
        <w:t>ARTICULO DECIMO.- </w:t>
      </w:r>
      <w:r>
        <w:rPr/>
        <w:t>Durante el año de 1994, la distribución entre los municipios a que se refiere la fracción I del artículo 2o-A de la Ley de Coordinación Fiscal de las participaciones mencionadas en dicha fracción, se hará utilizando el procedimiento señalado en este artículo, en lugar de la fórmula a que se refiere el tercer párrafo de dicha fracción.</w:t>
      </w:r>
    </w:p>
    <w:p>
      <w:pPr>
        <w:pStyle w:val="BodyText"/>
        <w:spacing w:before="2"/>
      </w:pPr>
    </w:p>
    <w:p>
      <w:pPr>
        <w:pStyle w:val="BodyText"/>
        <w:ind w:left="1" w:right="138" w:firstLine="288"/>
        <w:jc w:val="both"/>
      </w:pPr>
      <w:r>
        <w:rPr/>
        <w:t>La distribución de las citadas participaciones se determinarán para cada municipio colindante con la frontera o los litorales por los que se realicen materialmente la entrada al país o la salida de él de los bienes que se importen o exporten, conforme al porcentaje que representen las participaciones federales recibidas en 1993 por concepto del 95% del 2.8% de los impuestos generales de importación y 2% adicional sobre el impuesto general de exportación, a que se refiere el artículo 2o-A, fracción I de la Ley de Coordinación Fiscal vigente hasta el 31 de diciembre de 1993, en el total de las participaciones que la Federación haya canalizado a los municipios por dichos conceptos durante 1993.</w:t>
      </w:r>
    </w:p>
    <w:p>
      <w:pPr>
        <w:pStyle w:val="BodyText"/>
        <w:spacing w:before="1"/>
      </w:pPr>
    </w:p>
    <w:p>
      <w:pPr>
        <w:pStyle w:val="BodyText"/>
        <w:ind w:left="1" w:right="143" w:firstLine="288"/>
        <w:jc w:val="both"/>
      </w:pPr>
      <w:r>
        <w:rPr/>
        <w:t>El porcentaje que resulte para cada municipio conforme al párrafo anterior, será el coeficiente de participación que se le aplicará para el año de 1994.</w:t>
      </w:r>
    </w:p>
    <w:p>
      <w:pPr>
        <w:pStyle w:val="BodyText"/>
        <w:spacing w:before="229"/>
        <w:ind w:left="1" w:right="145" w:firstLine="288"/>
        <w:jc w:val="both"/>
      </w:pPr>
      <w:r>
        <w:rPr/>
        <w:t>Los municipios colindantes con la frontera o con litorales, podrán recibir las participaciones a que se refiere</w:t>
      </w:r>
      <w:r>
        <w:rPr>
          <w:spacing w:val="-1"/>
        </w:rPr>
        <w:t> </w:t>
      </w:r>
      <w:r>
        <w:rPr/>
        <w:t>este</w:t>
      </w:r>
      <w:r>
        <w:rPr>
          <w:spacing w:val="-1"/>
        </w:rPr>
        <w:t> </w:t>
      </w:r>
      <w:r>
        <w:rPr/>
        <w:t>artículo,</w:t>
      </w:r>
      <w:r>
        <w:rPr>
          <w:spacing w:val="-1"/>
        </w:rPr>
        <w:t> </w:t>
      </w:r>
      <w:r>
        <w:rPr/>
        <w:t>siempre</w:t>
      </w:r>
      <w:r>
        <w:rPr>
          <w:spacing w:val="-1"/>
        </w:rPr>
        <w:t> </w:t>
      </w:r>
      <w:r>
        <w:rPr/>
        <w:t>que</w:t>
      </w:r>
      <w:r>
        <w:rPr>
          <w:spacing w:val="-1"/>
        </w:rPr>
        <w:t> </w:t>
      </w:r>
      <w:r>
        <w:rPr/>
        <w:t>la</w:t>
      </w:r>
      <w:r>
        <w:rPr>
          <w:spacing w:val="-1"/>
        </w:rPr>
        <w:t> </w:t>
      </w:r>
      <w:r>
        <w:rPr/>
        <w:t>entidad</w:t>
      </w:r>
      <w:r>
        <w:rPr>
          <w:spacing w:val="-2"/>
        </w:rPr>
        <w:t> </w:t>
      </w:r>
      <w:r>
        <w:rPr/>
        <w:t>federativa</w:t>
      </w:r>
      <w:r>
        <w:rPr>
          <w:spacing w:val="-1"/>
        </w:rPr>
        <w:t> </w:t>
      </w:r>
      <w:r>
        <w:rPr/>
        <w:t>de</w:t>
      </w:r>
      <w:r>
        <w:rPr>
          <w:spacing w:val="-2"/>
        </w:rPr>
        <w:t> </w:t>
      </w:r>
      <w:r>
        <w:rPr/>
        <w:t>que</w:t>
      </w:r>
      <w:r>
        <w:rPr>
          <w:spacing w:val="-1"/>
        </w:rPr>
        <w:t> </w:t>
      </w:r>
      <w:r>
        <w:rPr/>
        <w:t>se</w:t>
      </w:r>
      <w:r>
        <w:rPr>
          <w:spacing w:val="-1"/>
        </w:rPr>
        <w:t> </w:t>
      </w:r>
      <w:r>
        <w:rPr/>
        <w:t>trate</w:t>
      </w:r>
      <w:r>
        <w:rPr>
          <w:spacing w:val="-1"/>
        </w:rPr>
        <w:t> </w:t>
      </w:r>
      <w:r>
        <w:rPr/>
        <w:t>celebre</w:t>
      </w:r>
      <w:r>
        <w:rPr>
          <w:spacing w:val="-1"/>
        </w:rPr>
        <w:t> </w:t>
      </w:r>
      <w:r>
        <w:rPr/>
        <w:t>convenio</w:t>
      </w:r>
      <w:r>
        <w:rPr>
          <w:spacing w:val="-1"/>
        </w:rPr>
        <w:t> </w:t>
      </w:r>
      <w:r>
        <w:rPr/>
        <w:t>con la</w:t>
      </w:r>
      <w:r>
        <w:rPr>
          <w:spacing w:val="-1"/>
        </w:rPr>
        <w:t> </w:t>
      </w:r>
      <w:r>
        <w:rPr/>
        <w:t>Federación en materia de vigilancia y control de introducción ilegal al territorio nacional de mercancías de</w:t>
      </w:r>
      <w:r>
        <w:rPr>
          <w:spacing w:val="40"/>
        </w:rPr>
        <w:t> </w:t>
      </w:r>
      <w:r>
        <w:rPr/>
        <w:t>procedencia extranjera y en dichos convenios se establezcan descuentos en las participaciones a que se refiere el párrafo segundo de este artículo, en los casos en que se detecten mercancías de procedencia extranjera respecto de las cuales no se acredite su legal estancia en el país."</w:t>
      </w:r>
    </w:p>
    <w:p>
      <w:pPr>
        <w:pStyle w:val="Heading1"/>
        <w:ind w:right="1298"/>
      </w:pPr>
      <w:r>
        <w:rPr>
          <w:spacing w:val="-2"/>
        </w:rPr>
        <w:t>TRANSITORIO</w:t>
      </w:r>
    </w:p>
    <w:p>
      <w:pPr>
        <w:pStyle w:val="BodyText"/>
        <w:spacing w:before="232"/>
        <w:ind w:left="289"/>
      </w:pPr>
      <w:r>
        <w:rPr>
          <w:rFonts w:ascii="Arial" w:hAnsi="Arial"/>
          <w:b/>
        </w:rPr>
        <w:t>UNICO.-</w:t>
      </w:r>
      <w:r>
        <w:rPr>
          <w:rFonts w:ascii="Arial" w:hAnsi="Arial"/>
          <w:b/>
          <w:spacing w:val="-5"/>
        </w:rPr>
        <w:t> </w:t>
      </w:r>
      <w:r>
        <w:rPr/>
        <w:t>El</w:t>
      </w:r>
      <w:r>
        <w:rPr>
          <w:spacing w:val="-7"/>
        </w:rPr>
        <w:t> </w:t>
      </w:r>
      <w:r>
        <w:rPr/>
        <w:t>presente</w:t>
      </w:r>
      <w:r>
        <w:rPr>
          <w:spacing w:val="-5"/>
        </w:rPr>
        <w:t> </w:t>
      </w:r>
      <w:r>
        <w:rPr/>
        <w:t>Decreto</w:t>
      </w:r>
      <w:r>
        <w:rPr>
          <w:spacing w:val="-7"/>
        </w:rPr>
        <w:t> </w:t>
      </w:r>
      <w:r>
        <w:rPr/>
        <w:t>entrará</w:t>
      </w:r>
      <w:r>
        <w:rPr>
          <w:spacing w:val="-5"/>
        </w:rPr>
        <w:t> </w:t>
      </w:r>
      <w:r>
        <w:rPr/>
        <w:t>en</w:t>
      </w:r>
      <w:r>
        <w:rPr>
          <w:spacing w:val="-6"/>
        </w:rPr>
        <w:t> </w:t>
      </w:r>
      <w:r>
        <w:rPr/>
        <w:t>vigor</w:t>
      </w:r>
      <w:r>
        <w:rPr>
          <w:spacing w:val="-6"/>
        </w:rPr>
        <w:t> </w:t>
      </w:r>
      <w:r>
        <w:rPr/>
        <w:t>el</w:t>
      </w:r>
      <w:r>
        <w:rPr>
          <w:spacing w:val="-5"/>
        </w:rPr>
        <w:t> </w:t>
      </w:r>
      <w:r>
        <w:rPr/>
        <w:t>día</w:t>
      </w:r>
      <w:r>
        <w:rPr>
          <w:spacing w:val="-4"/>
        </w:rPr>
        <w:t> </w:t>
      </w:r>
      <w:r>
        <w:rPr/>
        <w:t>1o.</w:t>
      </w:r>
      <w:r>
        <w:rPr>
          <w:spacing w:val="-6"/>
        </w:rPr>
        <w:t> </w:t>
      </w:r>
      <w:r>
        <w:rPr/>
        <w:t>de</w:t>
      </w:r>
      <w:r>
        <w:rPr>
          <w:spacing w:val="-3"/>
        </w:rPr>
        <w:t> </w:t>
      </w:r>
      <w:r>
        <w:rPr/>
        <w:t>enero</w:t>
      </w:r>
      <w:r>
        <w:rPr>
          <w:spacing w:val="-4"/>
        </w:rPr>
        <w:t> </w:t>
      </w:r>
      <w:r>
        <w:rPr/>
        <w:t>de</w:t>
      </w:r>
      <w:r>
        <w:rPr>
          <w:spacing w:val="-5"/>
        </w:rPr>
        <w:t> </w:t>
      </w:r>
      <w:r>
        <w:rPr>
          <w:spacing w:val="-2"/>
        </w:rPr>
        <w:t>1994.</w:t>
      </w:r>
    </w:p>
    <w:p>
      <w:pPr>
        <w:pStyle w:val="BodyText"/>
        <w:spacing w:before="1"/>
      </w:pPr>
    </w:p>
    <w:p>
      <w:pPr>
        <w:spacing w:before="0"/>
        <w:ind w:left="1" w:right="140" w:firstLine="288"/>
        <w:jc w:val="both"/>
        <w:rPr>
          <w:sz w:val="20"/>
        </w:rPr>
      </w:pPr>
      <w:r>
        <w:rPr>
          <w:sz w:val="20"/>
        </w:rPr>
        <w:t>México, D.F., a 20 de diciembre de 1993.- Dip. </w:t>
      </w:r>
      <w:r>
        <w:rPr>
          <w:rFonts w:ascii="Arial" w:hAnsi="Arial"/>
          <w:b/>
          <w:sz w:val="20"/>
        </w:rPr>
        <w:t>Cuauhtémoc López Sánchez</w:t>
      </w:r>
      <w:r>
        <w:rPr>
          <w:sz w:val="20"/>
        </w:rPr>
        <w:t>, Presidente.- Sen. </w:t>
      </w:r>
      <w:r>
        <w:rPr>
          <w:rFonts w:ascii="Arial" w:hAnsi="Arial"/>
          <w:b/>
          <w:sz w:val="20"/>
        </w:rPr>
        <w:t>Eduardo Robledo Rincón</w:t>
      </w:r>
      <w:r>
        <w:rPr>
          <w:sz w:val="20"/>
        </w:rPr>
        <w:t>, Presidente.- Dip. </w:t>
      </w:r>
      <w:r>
        <w:rPr>
          <w:rFonts w:ascii="Arial" w:hAnsi="Arial"/>
          <w:b/>
          <w:sz w:val="20"/>
        </w:rPr>
        <w:t>Jorge Sánchez Muñoz</w:t>
      </w:r>
      <w:r>
        <w:rPr>
          <w:sz w:val="20"/>
        </w:rPr>
        <w:t>, Secretario.- Sen. </w:t>
      </w:r>
      <w:r>
        <w:rPr>
          <w:rFonts w:ascii="Arial" w:hAnsi="Arial"/>
          <w:b/>
          <w:sz w:val="20"/>
        </w:rPr>
        <w:t>Antonio Melgar Aranda</w:t>
      </w:r>
      <w:r>
        <w:rPr>
          <w:sz w:val="20"/>
        </w:rPr>
        <w:t>, Secretario.- Rúbricas".</w:t>
      </w:r>
    </w:p>
    <w:p>
      <w:pPr>
        <w:pStyle w:val="BodyText"/>
        <w:spacing w:before="1"/>
      </w:pPr>
    </w:p>
    <w:p>
      <w:pPr>
        <w:pStyle w:val="BodyText"/>
        <w:spacing w:before="1"/>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diciembre de mil noveciento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jc w:val="left"/>
      </w:pPr>
      <w:r>
        <w:rPr/>
        <w:t>LEY</w:t>
      </w:r>
      <w:r>
        <w:rPr>
          <w:spacing w:val="23"/>
        </w:rPr>
        <w:t> </w:t>
      </w:r>
      <w:r>
        <w:rPr/>
        <w:t>reglamentaria</w:t>
      </w:r>
      <w:r>
        <w:rPr>
          <w:spacing w:val="21"/>
        </w:rPr>
        <w:t> </w:t>
      </w:r>
      <w:r>
        <w:rPr/>
        <w:t>de las</w:t>
      </w:r>
      <w:r>
        <w:rPr>
          <w:spacing w:val="23"/>
        </w:rPr>
        <w:t> </w:t>
      </w:r>
      <w:r>
        <w:rPr/>
        <w:t>fracciones I</w:t>
      </w:r>
      <w:r>
        <w:rPr>
          <w:spacing w:val="22"/>
        </w:rPr>
        <w:t> </w:t>
      </w:r>
      <w:r>
        <w:rPr/>
        <w:t>y II</w:t>
      </w:r>
      <w:r>
        <w:rPr>
          <w:spacing w:val="22"/>
        </w:rPr>
        <w:t> </w:t>
      </w:r>
      <w:r>
        <w:rPr/>
        <w:t>del</w:t>
      </w:r>
      <w:r>
        <w:rPr>
          <w:spacing w:val="22"/>
        </w:rPr>
        <w:t> </w:t>
      </w:r>
      <w:r>
        <w:rPr/>
        <w:t>artículo</w:t>
      </w:r>
      <w:r>
        <w:rPr>
          <w:spacing w:val="21"/>
        </w:rPr>
        <w:t> </w:t>
      </w:r>
      <w:r>
        <w:rPr/>
        <w:t>105</w:t>
      </w:r>
      <w:r>
        <w:rPr>
          <w:spacing w:val="21"/>
        </w:rPr>
        <w:t> </w:t>
      </w:r>
      <w:r>
        <w:rPr/>
        <w:t>de la</w:t>
      </w:r>
      <w:r>
        <w:rPr>
          <w:spacing w:val="21"/>
        </w:rPr>
        <w:t> </w:t>
      </w:r>
      <w:r>
        <w:rPr/>
        <w:t>Constitución</w:t>
      </w:r>
      <w:r>
        <w:rPr>
          <w:spacing w:val="21"/>
        </w:rPr>
        <w:t> </w:t>
      </w:r>
      <w:r>
        <w:rPr/>
        <w:t>Política de los Estados Unidos Mexicanos.</w:t>
      </w:r>
    </w:p>
    <w:p>
      <w:pPr>
        <w:spacing w:before="232"/>
        <w:ind w:left="0" w:right="144"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11</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1995</w:t>
      </w:r>
    </w:p>
    <w:p>
      <w:pPr>
        <w:pStyle w:val="BodyText"/>
        <w:spacing w:before="44"/>
        <w:rPr>
          <w:sz w:val="16"/>
        </w:rPr>
      </w:pPr>
    </w:p>
    <w:p>
      <w:pPr>
        <w:pStyle w:val="Heading1"/>
        <w:spacing w:before="0"/>
      </w:pPr>
      <w:r>
        <w:rPr>
          <w:spacing w:val="-2"/>
        </w:rPr>
        <w:t>TRANSITORIOS</w:t>
      </w:r>
    </w:p>
    <w:p>
      <w:pPr>
        <w:spacing w:before="231"/>
        <w:ind w:left="1" w:right="142" w:firstLine="288"/>
        <w:jc w:val="both"/>
        <w:rPr>
          <w:rFonts w:ascii="Arial" w:hAnsi="Arial"/>
          <w:b/>
          <w:sz w:val="20"/>
        </w:rPr>
      </w:pPr>
      <w:r>
        <w:rPr>
          <w:rFonts w:ascii="Arial" w:hAnsi="Arial"/>
          <w:b/>
          <w:sz w:val="20"/>
        </w:rPr>
        <w:t>PRIMERO.- </w:t>
      </w:r>
      <w:r>
        <w:rPr>
          <w:sz w:val="20"/>
        </w:rPr>
        <w:t>El presente decreto entrará en vigor 30 días después de su publicación en el </w:t>
      </w:r>
      <w:r>
        <w:rPr>
          <w:rFonts w:ascii="Arial" w:hAnsi="Arial"/>
          <w:b/>
          <w:sz w:val="20"/>
        </w:rPr>
        <w:t>Diario Oficial de la Federación.</w:t>
      </w:r>
    </w:p>
    <w:p>
      <w:pPr>
        <w:pStyle w:val="BodyText"/>
        <w:spacing w:before="1"/>
        <w:rPr>
          <w:rFonts w:ascii="Arial"/>
          <w:b/>
        </w:rPr>
      </w:pPr>
    </w:p>
    <w:p>
      <w:pPr>
        <w:pStyle w:val="BodyText"/>
        <w:ind w:left="1" w:right="151" w:firstLine="288"/>
        <w:jc w:val="both"/>
      </w:pPr>
      <w:r>
        <w:rPr>
          <w:rFonts w:ascii="Arial" w:hAnsi="Arial"/>
          <w:b/>
        </w:rPr>
        <w:t>SEGUNDO.- </w:t>
      </w:r>
      <w:r>
        <w:rPr/>
        <w:t>Las controversias constitucionales y ordinarias pendientes de resolución a la entrada en vigor del presente decreto, se tramitarán y resolverán en los términos establecidos en las disposiciones aplicables al momento en que se iniciaron.</w:t>
      </w:r>
    </w:p>
    <w:p>
      <w:pPr>
        <w:pStyle w:val="BodyText"/>
      </w:pPr>
    </w:p>
    <w:p>
      <w:pPr>
        <w:pStyle w:val="BodyText"/>
        <w:spacing w:line="242" w:lineRule="auto"/>
        <w:ind w:left="1" w:right="149" w:firstLine="288"/>
        <w:jc w:val="both"/>
      </w:pPr>
      <w:r>
        <w:rPr>
          <w:rFonts w:ascii="Arial" w:hAnsi="Arial"/>
          <w:b/>
        </w:rPr>
        <w:t>TERCERO.- </w:t>
      </w:r>
      <w:r>
        <w:rPr/>
        <w:t>Se derogan los párrafos segundo a cuarto, inclusive, del artículo 12 de la Ley de Coordinación Fiscal, así como todas las disposiciones legales y reglamentarias que se opongan a esta </w:t>
      </w:r>
      <w:r>
        <w:rPr>
          <w:spacing w:val="-4"/>
        </w:rPr>
        <w:t>ley.</w:t>
      </w:r>
    </w:p>
    <w:p>
      <w:pPr>
        <w:pStyle w:val="BodyText"/>
        <w:spacing w:line="242" w:lineRule="auto" w:before="223"/>
        <w:ind w:left="1" w:right="141" w:firstLine="288"/>
        <w:jc w:val="both"/>
      </w:pPr>
      <w:r>
        <w:rPr>
          <w:rFonts w:ascii="Arial" w:hAnsi="Arial"/>
          <w:b/>
        </w:rPr>
        <w:t>CUARTO.- </w:t>
      </w:r>
      <w:r>
        <w:rPr/>
        <w:t>En tanto entra en vigor el presente decreto, la Suprema Corte de Justicia de la Nación dictará los acuerdos generales necesarios para la debida aplicación de esta ley.</w:t>
      </w:r>
    </w:p>
    <w:p>
      <w:pPr>
        <w:spacing w:before="226"/>
        <w:ind w:left="1" w:right="141" w:firstLine="288"/>
        <w:jc w:val="both"/>
        <w:rPr>
          <w:sz w:val="20"/>
        </w:rPr>
      </w:pPr>
      <w:r>
        <w:rPr>
          <w:sz w:val="20"/>
        </w:rPr>
        <w:t>México, D.F., a 24 de abril de 1995.- Sen. </w:t>
      </w:r>
      <w:r>
        <w:rPr>
          <w:rFonts w:ascii="Arial" w:hAnsi="Arial"/>
          <w:b/>
          <w:sz w:val="20"/>
        </w:rPr>
        <w:t>Martha Lara Alatorre</w:t>
      </w:r>
      <w:r>
        <w:rPr>
          <w:sz w:val="20"/>
        </w:rPr>
        <w:t>, Presidenta.- Dip. </w:t>
      </w:r>
      <w:r>
        <w:rPr>
          <w:rFonts w:ascii="Arial" w:hAnsi="Arial"/>
          <w:b/>
          <w:sz w:val="20"/>
        </w:rPr>
        <w:t>Anselmo García Cruz</w:t>
      </w:r>
      <w:r>
        <w:rPr>
          <w:sz w:val="20"/>
        </w:rPr>
        <w:t>, Presidente.- Sen. </w:t>
      </w:r>
      <w:r>
        <w:rPr>
          <w:rFonts w:ascii="Arial" w:hAnsi="Arial"/>
          <w:b/>
          <w:sz w:val="20"/>
        </w:rPr>
        <w:t>Juan Fernando Palomino Topete</w:t>
      </w:r>
      <w:r>
        <w:rPr>
          <w:sz w:val="20"/>
        </w:rPr>
        <w:t>, Secretario.- Dip. </w:t>
      </w:r>
      <w:r>
        <w:rPr>
          <w:rFonts w:ascii="Arial" w:hAnsi="Arial"/>
          <w:b/>
          <w:sz w:val="20"/>
        </w:rPr>
        <w:t>Ricardo Fidel Pacheco Rodríguez</w:t>
      </w:r>
      <w:r>
        <w:rPr>
          <w:sz w:val="20"/>
        </w:rPr>
        <w:t>, Secretario.- Rúbricas".</w:t>
      </w:r>
    </w:p>
    <w:p>
      <w:pPr>
        <w:pStyle w:val="BodyText"/>
        <w:spacing w:before="2"/>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mayo de mil novecientos noventa y cinco.- </w:t>
      </w:r>
      <w:r>
        <w:rPr>
          <w:rFonts w:ascii="Arial" w:hAnsi="Arial"/>
          <w:b/>
        </w:rPr>
        <w:t>Ernesto Zedillo Ponce de León</w:t>
      </w:r>
      <w:r>
        <w:rPr/>
        <w:t>.- Rúbrica.- El Secretario de Gobernación, </w:t>
      </w:r>
      <w:r>
        <w:rPr>
          <w:rFonts w:ascii="Arial" w:hAnsi="Arial"/>
          <w:b/>
        </w:rPr>
        <w:t>Esteban Moctezuma Barragán</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jc w:val="left"/>
      </w:pPr>
      <w:r>
        <w:rPr/>
        <w:t>DECRETO</w:t>
      </w:r>
      <w:r>
        <w:rPr>
          <w:spacing w:val="-5"/>
        </w:rPr>
        <w:t> </w:t>
      </w:r>
      <w:r>
        <w:rPr/>
        <w:t>por</w:t>
      </w:r>
      <w:r>
        <w:rPr>
          <w:spacing w:val="-3"/>
        </w:rPr>
        <w:t> </w:t>
      </w:r>
      <w:r>
        <w:rPr/>
        <w:t>el</w:t>
      </w:r>
      <w:r>
        <w:rPr>
          <w:spacing w:val="-2"/>
        </w:rPr>
        <w:t> </w:t>
      </w:r>
      <w:r>
        <w:rPr/>
        <w:t>que</w:t>
      </w:r>
      <w:r>
        <w:rPr>
          <w:spacing w:val="-6"/>
        </w:rPr>
        <w:t> </w:t>
      </w:r>
      <w:r>
        <w:rPr/>
        <w:t>se</w:t>
      </w:r>
      <w:r>
        <w:rPr>
          <w:spacing w:val="-5"/>
        </w:rPr>
        <w:t> </w:t>
      </w:r>
      <w:r>
        <w:rPr/>
        <w:t>expiden</w:t>
      </w:r>
      <w:r>
        <w:rPr>
          <w:spacing w:val="-7"/>
        </w:rPr>
        <w:t> </w:t>
      </w:r>
      <w:r>
        <w:rPr/>
        <w:t>nuevas</w:t>
      </w:r>
      <w:r>
        <w:rPr>
          <w:spacing w:val="-4"/>
        </w:rPr>
        <w:t> </w:t>
      </w:r>
      <w:r>
        <w:rPr/>
        <w:t>leyes</w:t>
      </w:r>
      <w:r>
        <w:rPr>
          <w:spacing w:val="-2"/>
        </w:rPr>
        <w:t> </w:t>
      </w:r>
      <w:r>
        <w:rPr/>
        <w:t>fiscales</w:t>
      </w:r>
      <w:r>
        <w:rPr>
          <w:spacing w:val="-6"/>
        </w:rPr>
        <w:t> </w:t>
      </w:r>
      <w:r>
        <w:rPr/>
        <w:t>y</w:t>
      </w:r>
      <w:r>
        <w:rPr>
          <w:spacing w:val="-8"/>
        </w:rPr>
        <w:t> </w:t>
      </w:r>
      <w:r>
        <w:rPr/>
        <w:t>se</w:t>
      </w:r>
      <w:r>
        <w:rPr>
          <w:spacing w:val="-4"/>
        </w:rPr>
        <w:t> </w:t>
      </w:r>
      <w:r>
        <w:rPr/>
        <w:t>modifican</w:t>
      </w:r>
      <w:r>
        <w:rPr>
          <w:spacing w:val="-4"/>
        </w:rPr>
        <w:t> </w:t>
      </w:r>
      <w:r>
        <w:rPr>
          <w:spacing w:val="-2"/>
        </w:rPr>
        <w:t>otras.</w:t>
      </w:r>
    </w:p>
    <w:p>
      <w:pPr>
        <w:spacing w:before="233"/>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1995</w:t>
      </w:r>
    </w:p>
    <w:p>
      <w:pPr>
        <w:pStyle w:val="BodyText"/>
        <w:spacing w:before="45"/>
        <w:rPr>
          <w:sz w:val="16"/>
        </w:rPr>
      </w:pPr>
    </w:p>
    <w:p>
      <w:pPr>
        <w:spacing w:before="1"/>
        <w:ind w:left="1156" w:right="1299" w:firstLine="0"/>
        <w:jc w:val="center"/>
        <w:rPr>
          <w:rFonts w:ascii="Arial" w:hAnsi="Arial"/>
          <w:b/>
          <w:sz w:val="20"/>
        </w:rPr>
      </w:pPr>
      <w:r>
        <w:rPr>
          <w:rFonts w:ascii="Arial" w:hAnsi="Arial"/>
          <w:b/>
          <w:sz w:val="20"/>
        </w:rPr>
        <w:t>Ley</w:t>
      </w:r>
      <w:r>
        <w:rPr>
          <w:rFonts w:ascii="Arial" w:hAnsi="Arial"/>
          <w:b/>
          <w:spacing w:val="-9"/>
          <w:sz w:val="20"/>
        </w:rPr>
        <w:t> </w:t>
      </w:r>
      <w:r>
        <w:rPr>
          <w:rFonts w:ascii="Arial" w:hAnsi="Arial"/>
          <w:b/>
          <w:sz w:val="20"/>
        </w:rPr>
        <w:t>de</w:t>
      </w:r>
      <w:r>
        <w:rPr>
          <w:rFonts w:ascii="Arial" w:hAnsi="Arial"/>
          <w:b/>
          <w:spacing w:val="-6"/>
          <w:sz w:val="20"/>
        </w:rPr>
        <w:t> </w:t>
      </w:r>
      <w:r>
        <w:rPr>
          <w:rFonts w:ascii="Arial" w:hAnsi="Arial"/>
          <w:b/>
          <w:sz w:val="20"/>
        </w:rPr>
        <w:t>Coordinación</w:t>
      </w:r>
      <w:r>
        <w:rPr>
          <w:rFonts w:ascii="Arial" w:hAnsi="Arial"/>
          <w:b/>
          <w:spacing w:val="-6"/>
          <w:sz w:val="20"/>
        </w:rPr>
        <w:t> </w:t>
      </w:r>
      <w:r>
        <w:rPr>
          <w:rFonts w:ascii="Arial" w:hAnsi="Arial"/>
          <w:b/>
          <w:spacing w:val="-2"/>
          <w:sz w:val="20"/>
        </w:rPr>
        <w:t>Fiscal</w:t>
      </w:r>
    </w:p>
    <w:p>
      <w:pPr>
        <w:spacing w:before="228"/>
        <w:ind w:left="289"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Décimo</w:t>
      </w:r>
      <w:r>
        <w:rPr>
          <w:rFonts w:ascii="Arial" w:hAnsi="Arial"/>
          <w:b/>
          <w:spacing w:val="-6"/>
          <w:sz w:val="20"/>
        </w:rPr>
        <w:t> </w:t>
      </w:r>
      <w:r>
        <w:rPr>
          <w:rFonts w:ascii="Arial" w:hAnsi="Arial"/>
          <w:b/>
          <w:sz w:val="20"/>
        </w:rPr>
        <w:t>Segundo.</w:t>
      </w:r>
      <w:r>
        <w:rPr>
          <w:rFonts w:ascii="Arial" w:hAnsi="Arial"/>
          <w:b/>
          <w:spacing w:val="-6"/>
          <w:sz w:val="20"/>
        </w:rPr>
        <w:t> </w:t>
      </w:r>
      <w:r>
        <w:rPr>
          <w:sz w:val="20"/>
        </w:rPr>
        <w:t>Se</w:t>
      </w:r>
      <w:r>
        <w:rPr>
          <w:spacing w:val="-8"/>
          <w:sz w:val="20"/>
        </w:rPr>
        <w:t> </w:t>
      </w:r>
      <w:r>
        <w:rPr>
          <w:sz w:val="20"/>
        </w:rPr>
        <w:t>realizan</w:t>
      </w:r>
      <w:r>
        <w:rPr>
          <w:spacing w:val="-6"/>
          <w:sz w:val="20"/>
        </w:rPr>
        <w:t> </w:t>
      </w:r>
      <w:r>
        <w:rPr>
          <w:sz w:val="20"/>
        </w:rPr>
        <w:t>las</w:t>
      </w:r>
      <w:r>
        <w:rPr>
          <w:spacing w:val="-7"/>
          <w:sz w:val="20"/>
        </w:rPr>
        <w:t> </w:t>
      </w:r>
      <w:r>
        <w:rPr>
          <w:sz w:val="20"/>
        </w:rPr>
        <w:t>modificaciones</w:t>
      </w:r>
      <w:r>
        <w:rPr>
          <w:spacing w:val="-7"/>
          <w:sz w:val="20"/>
        </w:rPr>
        <w:t> </w:t>
      </w:r>
      <w:r>
        <w:rPr>
          <w:sz w:val="20"/>
        </w:rPr>
        <w:t>siguientes</w:t>
      </w:r>
      <w:r>
        <w:rPr>
          <w:spacing w:val="-5"/>
          <w:sz w:val="20"/>
        </w:rPr>
        <w:t> </w:t>
      </w:r>
      <w:r>
        <w:rPr>
          <w:sz w:val="20"/>
        </w:rPr>
        <w:t>a</w:t>
      </w:r>
      <w:r>
        <w:rPr>
          <w:spacing w:val="-8"/>
          <w:sz w:val="20"/>
        </w:rPr>
        <w:t> </w:t>
      </w:r>
      <w:r>
        <w:rPr>
          <w:sz w:val="20"/>
        </w:rPr>
        <w:t>la</w:t>
      </w:r>
      <w:r>
        <w:rPr>
          <w:spacing w:val="-8"/>
          <w:sz w:val="20"/>
        </w:rPr>
        <w:t> </w:t>
      </w:r>
      <w:r>
        <w:rPr>
          <w:sz w:val="20"/>
        </w:rPr>
        <w:t>Ley</w:t>
      </w:r>
      <w:r>
        <w:rPr>
          <w:spacing w:val="-9"/>
          <w:sz w:val="20"/>
        </w:rPr>
        <w:t> </w:t>
      </w:r>
      <w:r>
        <w:rPr>
          <w:sz w:val="20"/>
        </w:rPr>
        <w:t>de</w:t>
      </w:r>
      <w:r>
        <w:rPr>
          <w:spacing w:val="-6"/>
          <w:sz w:val="20"/>
        </w:rPr>
        <w:t> </w:t>
      </w:r>
      <w:r>
        <w:rPr>
          <w:sz w:val="20"/>
        </w:rPr>
        <w:t>Coordinación</w:t>
      </w:r>
      <w:r>
        <w:rPr>
          <w:spacing w:val="-9"/>
          <w:sz w:val="20"/>
        </w:rPr>
        <w:t> </w:t>
      </w:r>
      <w:r>
        <w:rPr>
          <w:spacing w:val="-2"/>
          <w:sz w:val="20"/>
        </w:rPr>
        <w:t>FiscaI:</w:t>
      </w:r>
    </w:p>
    <w:p>
      <w:pPr>
        <w:pStyle w:val="BodyText"/>
        <w:spacing w:before="1"/>
      </w:pPr>
    </w:p>
    <w:p>
      <w:pPr>
        <w:pStyle w:val="ListParagraph"/>
        <w:numPr>
          <w:ilvl w:val="1"/>
          <w:numId w:val="17"/>
        </w:numPr>
        <w:tabs>
          <w:tab w:pos="1352" w:val="left" w:leader="none"/>
        </w:tabs>
        <w:spacing w:line="240" w:lineRule="auto" w:before="0" w:after="0"/>
        <w:ind w:left="1352" w:right="0" w:hanging="811"/>
        <w:jc w:val="left"/>
        <w:rPr>
          <w:sz w:val="20"/>
        </w:rPr>
      </w:pPr>
      <w:r>
        <w:rPr>
          <w:sz w:val="20"/>
        </w:rPr>
        <w:t>Se</w:t>
      </w:r>
      <w:r>
        <w:rPr>
          <w:spacing w:val="-5"/>
          <w:sz w:val="20"/>
        </w:rPr>
        <w:t> </w:t>
      </w:r>
      <w:r>
        <w:rPr>
          <w:rFonts w:ascii="Arial" w:hAnsi="Arial"/>
          <w:b/>
          <w:sz w:val="20"/>
        </w:rPr>
        <w:t>reforman</w:t>
      </w:r>
      <w:r>
        <w:rPr>
          <w:rFonts w:ascii="Arial" w:hAnsi="Arial"/>
          <w:b/>
          <w:spacing w:val="-3"/>
          <w:sz w:val="20"/>
        </w:rPr>
        <w:t> </w:t>
      </w:r>
      <w:r>
        <w:rPr>
          <w:sz w:val="20"/>
        </w:rPr>
        <w:t>los</w:t>
      </w:r>
      <w:r>
        <w:rPr>
          <w:spacing w:val="-4"/>
          <w:sz w:val="20"/>
        </w:rPr>
        <w:t> </w:t>
      </w:r>
      <w:r>
        <w:rPr>
          <w:spacing w:val="-2"/>
          <w:sz w:val="20"/>
        </w:rPr>
        <w:t>artículos:</w:t>
      </w:r>
    </w:p>
    <w:p>
      <w:pPr>
        <w:pStyle w:val="BodyText"/>
        <w:spacing w:before="3"/>
      </w:pPr>
    </w:p>
    <w:p>
      <w:pPr>
        <w:pStyle w:val="ListParagraph"/>
        <w:numPr>
          <w:ilvl w:val="2"/>
          <w:numId w:val="17"/>
        </w:numPr>
        <w:tabs>
          <w:tab w:pos="1981" w:val="left" w:leader="none"/>
          <w:tab w:pos="2834" w:val="left" w:leader="none"/>
        </w:tabs>
        <w:spacing w:line="229" w:lineRule="exact" w:before="0" w:after="0"/>
        <w:ind w:left="1981" w:right="0" w:hanging="540"/>
        <w:jc w:val="left"/>
        <w:rPr>
          <w:sz w:val="20"/>
        </w:rPr>
      </w:pPr>
      <w:r>
        <w:rPr>
          <w:spacing w:val="-4"/>
          <w:sz w:val="20"/>
        </w:rPr>
        <w:t>2o.,</w:t>
      </w:r>
      <w:r>
        <w:rPr>
          <w:sz w:val="20"/>
        </w:rPr>
        <w:tab/>
        <w:t>primer,</w:t>
      </w:r>
      <w:r>
        <w:rPr>
          <w:spacing w:val="-5"/>
          <w:sz w:val="20"/>
        </w:rPr>
        <w:t> </w:t>
      </w:r>
      <w:r>
        <w:rPr>
          <w:sz w:val="20"/>
        </w:rPr>
        <w:t>cuarto</w:t>
      </w:r>
      <w:r>
        <w:rPr>
          <w:spacing w:val="-3"/>
          <w:sz w:val="20"/>
        </w:rPr>
        <w:t> </w:t>
      </w:r>
      <w:r>
        <w:rPr>
          <w:sz w:val="20"/>
        </w:rPr>
        <w:t>y</w:t>
      </w:r>
      <w:r>
        <w:rPr>
          <w:spacing w:val="-7"/>
          <w:sz w:val="20"/>
        </w:rPr>
        <w:t> </w:t>
      </w:r>
      <w:r>
        <w:rPr>
          <w:sz w:val="20"/>
        </w:rPr>
        <w:t>último</w:t>
      </w:r>
      <w:r>
        <w:rPr>
          <w:spacing w:val="-5"/>
          <w:sz w:val="20"/>
        </w:rPr>
        <w:t> </w:t>
      </w:r>
      <w:r>
        <w:rPr>
          <w:spacing w:val="-2"/>
          <w:sz w:val="20"/>
        </w:rPr>
        <w:t>párrafos,</w:t>
      </w:r>
    </w:p>
    <w:p>
      <w:pPr>
        <w:pStyle w:val="ListParagraph"/>
        <w:numPr>
          <w:ilvl w:val="2"/>
          <w:numId w:val="17"/>
        </w:numPr>
        <w:tabs>
          <w:tab w:pos="1981" w:val="left" w:leader="none"/>
          <w:tab w:pos="2834" w:val="left" w:leader="none"/>
        </w:tabs>
        <w:spacing w:line="229" w:lineRule="exact" w:before="0" w:after="0"/>
        <w:ind w:left="1981" w:right="0" w:hanging="540"/>
        <w:jc w:val="left"/>
        <w:rPr>
          <w:sz w:val="20"/>
        </w:rPr>
      </w:pPr>
      <w:r>
        <w:rPr>
          <w:spacing w:val="-2"/>
          <w:sz w:val="20"/>
        </w:rPr>
        <w:t>2o.-</w:t>
      </w:r>
      <w:r>
        <w:rPr>
          <w:spacing w:val="-5"/>
          <w:sz w:val="20"/>
        </w:rPr>
        <w:t>A,</w:t>
      </w:r>
      <w:r>
        <w:rPr>
          <w:sz w:val="20"/>
        </w:rPr>
        <w:tab/>
        <w:t>fracción</w:t>
      </w:r>
      <w:r>
        <w:rPr>
          <w:spacing w:val="-8"/>
          <w:sz w:val="20"/>
        </w:rPr>
        <w:t> </w:t>
      </w:r>
      <w:r>
        <w:rPr>
          <w:sz w:val="20"/>
        </w:rPr>
        <w:t>I,</w:t>
      </w:r>
      <w:r>
        <w:rPr>
          <w:spacing w:val="-6"/>
          <w:sz w:val="20"/>
        </w:rPr>
        <w:t> </w:t>
      </w:r>
      <w:r>
        <w:rPr>
          <w:sz w:val="20"/>
        </w:rPr>
        <w:t>segundo</w:t>
      </w:r>
      <w:r>
        <w:rPr>
          <w:spacing w:val="-5"/>
          <w:sz w:val="20"/>
        </w:rPr>
        <w:t> </w:t>
      </w:r>
      <w:r>
        <w:rPr>
          <w:sz w:val="20"/>
        </w:rPr>
        <w:t>párrafo;</w:t>
      </w:r>
      <w:r>
        <w:rPr>
          <w:spacing w:val="-2"/>
          <w:sz w:val="20"/>
        </w:rPr>
        <w:t> </w:t>
      </w:r>
      <w:r>
        <w:rPr>
          <w:sz w:val="20"/>
        </w:rPr>
        <w:t>y</w:t>
      </w:r>
      <w:r>
        <w:rPr>
          <w:spacing w:val="-9"/>
          <w:sz w:val="20"/>
        </w:rPr>
        <w:t> </w:t>
      </w:r>
      <w:r>
        <w:rPr>
          <w:sz w:val="20"/>
        </w:rPr>
        <w:t>la</w:t>
      </w:r>
      <w:r>
        <w:rPr>
          <w:spacing w:val="-6"/>
          <w:sz w:val="20"/>
        </w:rPr>
        <w:t> </w:t>
      </w:r>
      <w:r>
        <w:rPr>
          <w:sz w:val="20"/>
        </w:rPr>
        <w:t>fracción</w:t>
      </w:r>
      <w:r>
        <w:rPr>
          <w:spacing w:val="-3"/>
          <w:sz w:val="20"/>
        </w:rPr>
        <w:t> </w:t>
      </w:r>
      <w:r>
        <w:rPr>
          <w:spacing w:val="-4"/>
          <w:sz w:val="20"/>
        </w:rPr>
        <w:t>III;</w:t>
      </w:r>
    </w:p>
    <w:p>
      <w:pPr>
        <w:pStyle w:val="ListParagraph"/>
        <w:numPr>
          <w:ilvl w:val="2"/>
          <w:numId w:val="17"/>
        </w:numPr>
        <w:tabs>
          <w:tab w:pos="1981" w:val="left" w:leader="none"/>
          <w:tab w:pos="2834" w:val="left" w:leader="none"/>
        </w:tabs>
        <w:spacing w:line="240" w:lineRule="auto" w:before="1" w:after="0"/>
        <w:ind w:left="1981" w:right="0" w:hanging="540"/>
        <w:jc w:val="left"/>
        <w:rPr>
          <w:sz w:val="20"/>
        </w:rPr>
      </w:pPr>
      <w:r>
        <w:rPr>
          <w:spacing w:val="-4"/>
          <w:sz w:val="20"/>
        </w:rPr>
        <w:t>3o.,</w:t>
      </w:r>
      <w:r>
        <w:rPr>
          <w:sz w:val="20"/>
        </w:rPr>
        <w:tab/>
        <w:t>último</w:t>
      </w:r>
      <w:r>
        <w:rPr>
          <w:spacing w:val="-6"/>
          <w:sz w:val="20"/>
        </w:rPr>
        <w:t> </w:t>
      </w:r>
      <w:r>
        <w:rPr>
          <w:spacing w:val="-2"/>
          <w:sz w:val="20"/>
        </w:rPr>
        <w:t>párrafo;</w:t>
      </w:r>
    </w:p>
    <w:p>
      <w:pPr>
        <w:pStyle w:val="ListParagraph"/>
        <w:numPr>
          <w:ilvl w:val="2"/>
          <w:numId w:val="17"/>
        </w:numPr>
        <w:tabs>
          <w:tab w:pos="1981" w:val="left" w:leader="none"/>
          <w:tab w:pos="2834" w:val="left" w:leader="none"/>
        </w:tabs>
        <w:spacing w:line="240" w:lineRule="auto" w:before="0" w:after="0"/>
        <w:ind w:left="1981" w:right="0" w:hanging="540"/>
        <w:jc w:val="left"/>
        <w:rPr>
          <w:sz w:val="20"/>
        </w:rPr>
      </w:pPr>
      <w:r>
        <w:rPr>
          <w:spacing w:val="-4"/>
          <w:sz w:val="20"/>
        </w:rPr>
        <w:t>4o.,</w:t>
      </w:r>
      <w:r>
        <w:rPr>
          <w:sz w:val="20"/>
        </w:rPr>
        <w:tab/>
        <w:t>primero</w:t>
      </w:r>
      <w:r>
        <w:rPr>
          <w:spacing w:val="-4"/>
          <w:sz w:val="20"/>
        </w:rPr>
        <w:t> </w:t>
      </w:r>
      <w:r>
        <w:rPr>
          <w:sz w:val="20"/>
        </w:rPr>
        <w:t>y</w:t>
      </w:r>
      <w:r>
        <w:rPr>
          <w:spacing w:val="-9"/>
          <w:sz w:val="20"/>
        </w:rPr>
        <w:t> </w:t>
      </w:r>
      <w:r>
        <w:rPr>
          <w:sz w:val="20"/>
        </w:rPr>
        <w:t>quinto</w:t>
      </w:r>
      <w:r>
        <w:rPr>
          <w:spacing w:val="-6"/>
          <w:sz w:val="20"/>
        </w:rPr>
        <w:t> </w:t>
      </w:r>
      <w:r>
        <w:rPr>
          <w:spacing w:val="-2"/>
          <w:sz w:val="20"/>
        </w:rPr>
        <w:t>párrafos;</w:t>
      </w:r>
    </w:p>
    <w:p>
      <w:pPr>
        <w:pStyle w:val="ListParagraph"/>
        <w:numPr>
          <w:ilvl w:val="2"/>
          <w:numId w:val="17"/>
        </w:numPr>
        <w:tabs>
          <w:tab w:pos="1981" w:val="left" w:leader="none"/>
          <w:tab w:pos="2834" w:val="left" w:leader="none"/>
        </w:tabs>
        <w:spacing w:line="240" w:lineRule="auto" w:before="0" w:after="0"/>
        <w:ind w:left="1981" w:right="0" w:hanging="540"/>
        <w:jc w:val="left"/>
        <w:rPr>
          <w:sz w:val="20"/>
        </w:rPr>
      </w:pPr>
      <w:r>
        <w:rPr>
          <w:spacing w:val="-4"/>
          <w:sz w:val="20"/>
        </w:rPr>
        <w:t>7o.,</w:t>
      </w:r>
      <w:r>
        <w:rPr>
          <w:sz w:val="20"/>
        </w:rPr>
        <w:tab/>
        <w:t>primero</w:t>
      </w:r>
      <w:r>
        <w:rPr>
          <w:spacing w:val="-4"/>
          <w:sz w:val="20"/>
        </w:rPr>
        <w:t> </w:t>
      </w:r>
      <w:r>
        <w:rPr>
          <w:sz w:val="20"/>
        </w:rPr>
        <w:t>y</w:t>
      </w:r>
      <w:r>
        <w:rPr>
          <w:spacing w:val="-9"/>
          <w:sz w:val="20"/>
        </w:rPr>
        <w:t> </w:t>
      </w:r>
      <w:r>
        <w:rPr>
          <w:sz w:val="20"/>
        </w:rPr>
        <w:t>quinto</w:t>
      </w:r>
      <w:r>
        <w:rPr>
          <w:spacing w:val="-6"/>
          <w:sz w:val="20"/>
        </w:rPr>
        <w:t> </w:t>
      </w:r>
      <w:r>
        <w:rPr>
          <w:spacing w:val="-2"/>
          <w:sz w:val="20"/>
        </w:rPr>
        <w:t>párrafos;</w:t>
      </w:r>
    </w:p>
    <w:p>
      <w:pPr>
        <w:pStyle w:val="ListParagraph"/>
        <w:numPr>
          <w:ilvl w:val="2"/>
          <w:numId w:val="17"/>
        </w:numPr>
        <w:tabs>
          <w:tab w:pos="1981" w:val="left" w:leader="none"/>
          <w:tab w:pos="2834" w:val="left" w:leader="none"/>
        </w:tabs>
        <w:spacing w:line="240" w:lineRule="auto" w:before="1" w:after="0"/>
        <w:ind w:left="1981" w:right="0" w:hanging="540"/>
        <w:jc w:val="left"/>
        <w:rPr>
          <w:sz w:val="20"/>
        </w:rPr>
      </w:pPr>
      <w:r>
        <w:rPr>
          <w:spacing w:val="-4"/>
          <w:sz w:val="20"/>
        </w:rPr>
        <w:t>8o.,</w:t>
      </w:r>
      <w:r>
        <w:rPr>
          <w:sz w:val="20"/>
        </w:rPr>
        <w:tab/>
        <w:t>primer</w:t>
      </w:r>
      <w:r>
        <w:rPr>
          <w:spacing w:val="-4"/>
          <w:sz w:val="20"/>
        </w:rPr>
        <w:t> </w:t>
      </w:r>
      <w:r>
        <w:rPr>
          <w:spacing w:val="-2"/>
          <w:sz w:val="20"/>
        </w:rPr>
        <w:t>párrafo;</w:t>
      </w:r>
    </w:p>
    <w:p>
      <w:pPr>
        <w:pStyle w:val="ListParagraph"/>
        <w:numPr>
          <w:ilvl w:val="2"/>
          <w:numId w:val="17"/>
        </w:numPr>
        <w:tabs>
          <w:tab w:pos="1981" w:val="left" w:leader="none"/>
          <w:tab w:pos="2834" w:val="left" w:leader="none"/>
        </w:tabs>
        <w:spacing w:line="229" w:lineRule="exact" w:before="0" w:after="0"/>
        <w:ind w:left="1981" w:right="0" w:hanging="540"/>
        <w:jc w:val="left"/>
        <w:rPr>
          <w:sz w:val="20"/>
        </w:rPr>
      </w:pPr>
      <w:r>
        <w:rPr>
          <w:spacing w:val="-4"/>
          <w:sz w:val="20"/>
        </w:rPr>
        <w:t>9o.,</w:t>
      </w:r>
      <w:r>
        <w:rPr>
          <w:sz w:val="20"/>
        </w:rPr>
        <w:tab/>
        <w:t>tercero</w:t>
      </w:r>
      <w:r>
        <w:rPr>
          <w:spacing w:val="-5"/>
          <w:sz w:val="20"/>
        </w:rPr>
        <w:t> </w:t>
      </w:r>
      <w:r>
        <w:rPr>
          <w:sz w:val="20"/>
        </w:rPr>
        <w:t>y</w:t>
      </w:r>
      <w:r>
        <w:rPr>
          <w:spacing w:val="-9"/>
          <w:sz w:val="20"/>
        </w:rPr>
        <w:t> </w:t>
      </w:r>
      <w:r>
        <w:rPr>
          <w:sz w:val="20"/>
        </w:rPr>
        <w:t>cuarto</w:t>
      </w:r>
      <w:r>
        <w:rPr>
          <w:spacing w:val="-6"/>
          <w:sz w:val="20"/>
        </w:rPr>
        <w:t> </w:t>
      </w:r>
      <w:r>
        <w:rPr>
          <w:spacing w:val="-2"/>
          <w:sz w:val="20"/>
        </w:rPr>
        <w:t>párrafos;</w:t>
      </w:r>
    </w:p>
    <w:p>
      <w:pPr>
        <w:pStyle w:val="ListParagraph"/>
        <w:numPr>
          <w:ilvl w:val="2"/>
          <w:numId w:val="17"/>
        </w:numPr>
        <w:tabs>
          <w:tab w:pos="1981" w:val="left" w:leader="none"/>
        </w:tabs>
        <w:spacing w:line="229" w:lineRule="exact" w:before="0" w:after="0"/>
        <w:ind w:left="1981" w:right="0" w:hanging="540"/>
        <w:jc w:val="left"/>
        <w:rPr>
          <w:sz w:val="20"/>
        </w:rPr>
      </w:pPr>
      <w:r>
        <w:rPr>
          <w:spacing w:val="-2"/>
          <w:sz w:val="20"/>
        </w:rPr>
        <w:t>9o.-</w:t>
      </w:r>
      <w:r>
        <w:rPr>
          <w:spacing w:val="-5"/>
          <w:sz w:val="20"/>
        </w:rPr>
        <w:t>A;</w:t>
      </w:r>
    </w:p>
    <w:p>
      <w:pPr>
        <w:pStyle w:val="ListParagraph"/>
        <w:numPr>
          <w:ilvl w:val="2"/>
          <w:numId w:val="17"/>
        </w:numPr>
        <w:tabs>
          <w:tab w:pos="1981" w:val="left" w:leader="none"/>
          <w:tab w:pos="2834" w:val="left" w:leader="none"/>
        </w:tabs>
        <w:spacing w:line="240" w:lineRule="auto" w:before="1" w:after="0"/>
        <w:ind w:left="1981" w:right="0" w:hanging="540"/>
        <w:jc w:val="left"/>
        <w:rPr>
          <w:sz w:val="20"/>
        </w:rPr>
      </w:pPr>
      <w:r>
        <w:rPr>
          <w:spacing w:val="-2"/>
          <w:sz w:val="20"/>
        </w:rPr>
        <w:t>10-</w:t>
      </w:r>
      <w:r>
        <w:rPr>
          <w:spacing w:val="-5"/>
          <w:sz w:val="20"/>
        </w:rPr>
        <w:t>A,</w:t>
      </w:r>
      <w:r>
        <w:rPr>
          <w:sz w:val="20"/>
        </w:rPr>
        <w:tab/>
        <w:t>fracción</w:t>
      </w:r>
      <w:r>
        <w:rPr>
          <w:spacing w:val="-7"/>
          <w:sz w:val="20"/>
        </w:rPr>
        <w:t> </w:t>
      </w:r>
      <w:r>
        <w:rPr>
          <w:sz w:val="20"/>
        </w:rPr>
        <w:t>III</w:t>
      </w:r>
      <w:r>
        <w:rPr>
          <w:spacing w:val="-5"/>
          <w:sz w:val="20"/>
        </w:rPr>
        <w:t> </w:t>
      </w:r>
      <w:r>
        <w:rPr>
          <w:sz w:val="20"/>
        </w:rPr>
        <w:t>y</w:t>
      </w:r>
      <w:r>
        <w:rPr>
          <w:spacing w:val="-8"/>
          <w:sz w:val="20"/>
        </w:rPr>
        <w:t> </w:t>
      </w:r>
      <w:r>
        <w:rPr>
          <w:sz w:val="20"/>
        </w:rPr>
        <w:t>segundo</w:t>
      </w:r>
      <w:r>
        <w:rPr>
          <w:spacing w:val="-5"/>
          <w:sz w:val="20"/>
        </w:rPr>
        <w:t> </w:t>
      </w:r>
      <w:r>
        <w:rPr>
          <w:sz w:val="20"/>
        </w:rPr>
        <w:t>párrafo</w:t>
      </w:r>
      <w:r>
        <w:rPr>
          <w:spacing w:val="-6"/>
          <w:sz w:val="20"/>
        </w:rPr>
        <w:t> </w:t>
      </w:r>
      <w:r>
        <w:rPr>
          <w:sz w:val="20"/>
        </w:rPr>
        <w:t>del</w:t>
      </w:r>
      <w:r>
        <w:rPr>
          <w:spacing w:val="-7"/>
          <w:sz w:val="20"/>
        </w:rPr>
        <w:t> </w:t>
      </w:r>
      <w:r>
        <w:rPr>
          <w:sz w:val="20"/>
        </w:rPr>
        <w:t>propio</w:t>
      </w:r>
      <w:r>
        <w:rPr>
          <w:spacing w:val="-6"/>
          <w:sz w:val="20"/>
        </w:rPr>
        <w:t> </w:t>
      </w:r>
      <w:r>
        <w:rPr>
          <w:spacing w:val="-2"/>
          <w:sz w:val="20"/>
        </w:rPr>
        <w:t>artículo;</w:t>
      </w:r>
    </w:p>
    <w:p>
      <w:pPr>
        <w:pStyle w:val="ListParagraph"/>
        <w:numPr>
          <w:ilvl w:val="2"/>
          <w:numId w:val="17"/>
        </w:numPr>
        <w:tabs>
          <w:tab w:pos="1981" w:val="left" w:leader="none"/>
          <w:tab w:pos="2834" w:val="left" w:leader="none"/>
        </w:tabs>
        <w:spacing w:line="240" w:lineRule="auto" w:before="0" w:after="0"/>
        <w:ind w:left="1981" w:right="0" w:hanging="540"/>
        <w:jc w:val="left"/>
        <w:rPr>
          <w:sz w:val="20"/>
        </w:rPr>
      </w:pPr>
      <w:r>
        <w:rPr>
          <w:spacing w:val="-5"/>
          <w:sz w:val="20"/>
        </w:rPr>
        <w:t>12,</w:t>
      </w:r>
      <w:r>
        <w:rPr>
          <w:sz w:val="20"/>
        </w:rPr>
        <w:tab/>
        <w:t>último</w:t>
      </w:r>
      <w:r>
        <w:rPr>
          <w:spacing w:val="-6"/>
          <w:sz w:val="20"/>
        </w:rPr>
        <w:t> </w:t>
      </w:r>
      <w:r>
        <w:rPr>
          <w:sz w:val="20"/>
        </w:rPr>
        <w:t>párrafo,</w:t>
      </w:r>
      <w:r>
        <w:rPr>
          <w:spacing w:val="-4"/>
          <w:sz w:val="20"/>
        </w:rPr>
        <w:t> </w:t>
      </w:r>
      <w:r>
        <w:rPr>
          <w:spacing w:val="-10"/>
          <w:sz w:val="20"/>
        </w:rPr>
        <w:t>y</w:t>
      </w:r>
    </w:p>
    <w:p>
      <w:pPr>
        <w:pStyle w:val="ListParagraph"/>
        <w:numPr>
          <w:ilvl w:val="2"/>
          <w:numId w:val="17"/>
        </w:numPr>
        <w:tabs>
          <w:tab w:pos="1981" w:val="left" w:leader="none"/>
          <w:tab w:pos="2834" w:val="left" w:leader="none"/>
        </w:tabs>
        <w:spacing w:line="240" w:lineRule="auto" w:before="1" w:after="0"/>
        <w:ind w:left="1981" w:right="0" w:hanging="540"/>
        <w:jc w:val="left"/>
        <w:rPr>
          <w:sz w:val="20"/>
        </w:rPr>
      </w:pPr>
      <w:r>
        <w:rPr>
          <w:spacing w:val="-5"/>
          <w:sz w:val="20"/>
        </w:rPr>
        <w:t>13,</w:t>
      </w:r>
      <w:r>
        <w:rPr>
          <w:sz w:val="20"/>
        </w:rPr>
        <w:tab/>
        <w:t>segundo</w:t>
      </w:r>
      <w:r>
        <w:rPr>
          <w:spacing w:val="-11"/>
          <w:sz w:val="20"/>
        </w:rPr>
        <w:t> </w:t>
      </w:r>
      <w:r>
        <w:rPr>
          <w:spacing w:val="-2"/>
          <w:sz w:val="20"/>
        </w:rPr>
        <w:t>párrafo.</w:t>
      </w:r>
    </w:p>
    <w:p>
      <w:pPr>
        <w:pStyle w:val="ListParagraph"/>
        <w:numPr>
          <w:ilvl w:val="1"/>
          <w:numId w:val="17"/>
        </w:numPr>
        <w:tabs>
          <w:tab w:pos="1352" w:val="left" w:leader="none"/>
        </w:tabs>
        <w:spacing w:line="240" w:lineRule="auto" w:before="226" w:after="0"/>
        <w:ind w:left="1352" w:right="0" w:hanging="811"/>
        <w:jc w:val="left"/>
        <w:rPr>
          <w:sz w:val="20"/>
        </w:rPr>
      </w:pPr>
      <w:r>
        <w:rPr>
          <w:sz w:val="20"/>
        </w:rPr>
        <w:t>Se</w:t>
      </w:r>
      <w:r>
        <w:rPr>
          <w:spacing w:val="-7"/>
          <w:sz w:val="20"/>
        </w:rPr>
        <w:t> </w:t>
      </w:r>
      <w:r>
        <w:rPr>
          <w:rFonts w:ascii="Arial" w:hAnsi="Arial"/>
          <w:b/>
          <w:sz w:val="20"/>
        </w:rPr>
        <w:t>adicionan</w:t>
      </w:r>
      <w:r>
        <w:rPr>
          <w:rFonts w:ascii="Arial" w:hAnsi="Arial"/>
          <w:b/>
          <w:spacing w:val="-2"/>
          <w:sz w:val="20"/>
        </w:rPr>
        <w:t> </w:t>
      </w:r>
      <w:r>
        <w:rPr>
          <w:sz w:val="20"/>
        </w:rPr>
        <w:t>los</w:t>
      </w:r>
      <w:r>
        <w:rPr>
          <w:spacing w:val="-6"/>
          <w:sz w:val="20"/>
        </w:rPr>
        <w:t> </w:t>
      </w:r>
      <w:r>
        <w:rPr>
          <w:spacing w:val="-2"/>
          <w:sz w:val="20"/>
        </w:rPr>
        <w:t>artículos:</w:t>
      </w:r>
    </w:p>
    <w:p>
      <w:pPr>
        <w:pStyle w:val="BodyText"/>
        <w:spacing w:before="3"/>
      </w:pPr>
    </w:p>
    <w:p>
      <w:pPr>
        <w:pStyle w:val="ListParagraph"/>
        <w:numPr>
          <w:ilvl w:val="2"/>
          <w:numId w:val="17"/>
        </w:numPr>
        <w:tabs>
          <w:tab w:pos="1981" w:val="left" w:leader="none"/>
        </w:tabs>
        <w:spacing w:line="240" w:lineRule="auto" w:before="0" w:after="0"/>
        <w:ind w:left="1981" w:right="0" w:hanging="540"/>
        <w:jc w:val="left"/>
        <w:rPr>
          <w:sz w:val="20"/>
        </w:rPr>
      </w:pPr>
      <w:r>
        <w:rPr>
          <w:spacing w:val="-2"/>
          <w:sz w:val="20"/>
        </w:rPr>
        <w:t>3o.-</w:t>
      </w:r>
      <w:r>
        <w:rPr>
          <w:spacing w:val="-5"/>
          <w:sz w:val="20"/>
        </w:rPr>
        <w:t>A;</w:t>
      </w:r>
    </w:p>
    <w:p>
      <w:pPr>
        <w:pStyle w:val="ListParagraph"/>
        <w:numPr>
          <w:ilvl w:val="2"/>
          <w:numId w:val="17"/>
        </w:numPr>
        <w:tabs>
          <w:tab w:pos="1981" w:val="left" w:leader="none"/>
          <w:tab w:pos="2834" w:val="left" w:leader="none"/>
        </w:tabs>
        <w:spacing w:line="240" w:lineRule="auto" w:before="1" w:after="0"/>
        <w:ind w:left="1981" w:right="0" w:hanging="540"/>
        <w:jc w:val="left"/>
        <w:rPr>
          <w:sz w:val="20"/>
        </w:rPr>
      </w:pPr>
      <w:r>
        <w:rPr>
          <w:spacing w:val="-4"/>
          <w:sz w:val="20"/>
        </w:rPr>
        <w:t>9o.,</w:t>
      </w:r>
      <w:r>
        <w:rPr>
          <w:sz w:val="20"/>
        </w:rPr>
        <w:tab/>
        <w:t>quinto</w:t>
      </w:r>
      <w:r>
        <w:rPr>
          <w:spacing w:val="-6"/>
          <w:sz w:val="20"/>
        </w:rPr>
        <w:t> </w:t>
      </w:r>
      <w:r>
        <w:rPr>
          <w:sz w:val="20"/>
        </w:rPr>
        <w:t>párrafo,</w:t>
      </w:r>
      <w:r>
        <w:rPr>
          <w:spacing w:val="-7"/>
          <w:sz w:val="20"/>
        </w:rPr>
        <w:t> </w:t>
      </w:r>
      <w:r>
        <w:rPr>
          <w:sz w:val="20"/>
        </w:rPr>
        <w:t>pasando</w:t>
      </w:r>
      <w:r>
        <w:rPr>
          <w:spacing w:val="-5"/>
          <w:sz w:val="20"/>
        </w:rPr>
        <w:t> </w:t>
      </w:r>
      <w:r>
        <w:rPr>
          <w:sz w:val="20"/>
        </w:rPr>
        <w:t>el</w:t>
      </w:r>
      <w:r>
        <w:rPr>
          <w:spacing w:val="-4"/>
          <w:sz w:val="20"/>
        </w:rPr>
        <w:t> </w:t>
      </w:r>
      <w:r>
        <w:rPr>
          <w:sz w:val="20"/>
        </w:rPr>
        <w:t>actual</w:t>
      </w:r>
      <w:r>
        <w:rPr>
          <w:spacing w:val="-6"/>
          <w:sz w:val="20"/>
        </w:rPr>
        <w:t> </w:t>
      </w:r>
      <w:r>
        <w:rPr>
          <w:sz w:val="20"/>
        </w:rPr>
        <w:t>quinto</w:t>
      </w:r>
      <w:r>
        <w:rPr>
          <w:spacing w:val="-6"/>
          <w:sz w:val="20"/>
        </w:rPr>
        <w:t> </w:t>
      </w:r>
      <w:r>
        <w:rPr>
          <w:sz w:val="20"/>
        </w:rPr>
        <w:t>a</w:t>
      </w:r>
      <w:r>
        <w:rPr>
          <w:spacing w:val="-8"/>
          <w:sz w:val="20"/>
        </w:rPr>
        <w:t> </w:t>
      </w:r>
      <w:r>
        <w:rPr>
          <w:sz w:val="20"/>
        </w:rPr>
        <w:t>ser</w:t>
      </w:r>
      <w:r>
        <w:rPr>
          <w:spacing w:val="-7"/>
          <w:sz w:val="20"/>
        </w:rPr>
        <w:t> </w:t>
      </w:r>
      <w:r>
        <w:rPr>
          <w:sz w:val="20"/>
        </w:rPr>
        <w:t>sexto</w:t>
      </w:r>
      <w:r>
        <w:rPr>
          <w:spacing w:val="-5"/>
          <w:sz w:val="20"/>
        </w:rPr>
        <w:t> </w:t>
      </w:r>
      <w:r>
        <w:rPr>
          <w:spacing w:val="-2"/>
          <w:sz w:val="20"/>
        </w:rPr>
        <w:t>párrafo;</w:t>
      </w:r>
    </w:p>
    <w:p>
      <w:pPr>
        <w:pStyle w:val="ListParagraph"/>
        <w:numPr>
          <w:ilvl w:val="2"/>
          <w:numId w:val="17"/>
        </w:numPr>
        <w:tabs>
          <w:tab w:pos="1981" w:val="left" w:leader="none"/>
          <w:tab w:pos="2834" w:val="left" w:leader="none"/>
        </w:tabs>
        <w:spacing w:line="240" w:lineRule="auto" w:before="0" w:after="0"/>
        <w:ind w:left="1981" w:right="0" w:hanging="540"/>
        <w:jc w:val="left"/>
        <w:rPr>
          <w:sz w:val="20"/>
        </w:rPr>
      </w:pPr>
      <w:r>
        <w:rPr>
          <w:spacing w:val="-2"/>
          <w:sz w:val="20"/>
        </w:rPr>
        <w:t>10-</w:t>
      </w:r>
      <w:r>
        <w:rPr>
          <w:spacing w:val="-5"/>
          <w:sz w:val="20"/>
        </w:rPr>
        <w:t>A,</w:t>
      </w:r>
      <w:r>
        <w:rPr>
          <w:sz w:val="20"/>
        </w:rPr>
        <w:tab/>
        <w:t>fracción</w:t>
      </w:r>
      <w:r>
        <w:rPr>
          <w:spacing w:val="-6"/>
          <w:sz w:val="20"/>
        </w:rPr>
        <w:t> </w:t>
      </w:r>
      <w:r>
        <w:rPr>
          <w:sz w:val="20"/>
        </w:rPr>
        <w:t>I,</w:t>
      </w:r>
      <w:r>
        <w:rPr>
          <w:spacing w:val="-5"/>
          <w:sz w:val="20"/>
        </w:rPr>
        <w:t> </w:t>
      </w:r>
      <w:r>
        <w:rPr>
          <w:sz w:val="20"/>
        </w:rPr>
        <w:t>incisos</w:t>
      </w:r>
      <w:r>
        <w:rPr>
          <w:spacing w:val="-3"/>
          <w:sz w:val="20"/>
        </w:rPr>
        <w:t> </w:t>
      </w:r>
      <w:r>
        <w:rPr>
          <w:sz w:val="20"/>
        </w:rPr>
        <w:t>f)</w:t>
      </w:r>
      <w:r>
        <w:rPr>
          <w:spacing w:val="-2"/>
          <w:sz w:val="20"/>
        </w:rPr>
        <w:t> </w:t>
      </w:r>
      <w:r>
        <w:rPr>
          <w:sz w:val="20"/>
        </w:rPr>
        <w:t>y</w:t>
      </w:r>
      <w:r>
        <w:rPr>
          <w:spacing w:val="-6"/>
          <w:sz w:val="20"/>
        </w:rPr>
        <w:t> </w:t>
      </w:r>
      <w:r>
        <w:rPr>
          <w:spacing w:val="-5"/>
          <w:sz w:val="20"/>
        </w:rPr>
        <w:t>g).</w:t>
      </w:r>
    </w:p>
    <w:p>
      <w:pPr>
        <w:pStyle w:val="Heading2"/>
        <w:spacing w:before="226"/>
        <w:ind w:left="1156" w:right="1298"/>
      </w:pPr>
      <w:r>
        <w:rPr/>
        <w:t>Disposiciones</w:t>
      </w:r>
      <w:r>
        <w:rPr>
          <w:spacing w:val="-9"/>
        </w:rPr>
        <w:t> </w:t>
      </w:r>
      <w:r>
        <w:rPr/>
        <w:t>Transitorias</w:t>
      </w:r>
      <w:r>
        <w:rPr>
          <w:spacing w:val="-5"/>
        </w:rPr>
        <w:t> </w:t>
      </w:r>
      <w:r>
        <w:rPr/>
        <w:t>de</w:t>
      </w:r>
      <w:r>
        <w:rPr>
          <w:spacing w:val="-7"/>
        </w:rPr>
        <w:t> </w:t>
      </w:r>
      <w:r>
        <w:rPr/>
        <w:t>la</w:t>
      </w:r>
      <w:r>
        <w:rPr>
          <w:spacing w:val="-5"/>
        </w:rPr>
        <w:t> </w:t>
      </w:r>
      <w:r>
        <w:rPr/>
        <w:t>Ley</w:t>
      </w:r>
      <w:r>
        <w:rPr>
          <w:spacing w:val="-9"/>
        </w:rPr>
        <w:t> </w:t>
      </w:r>
      <w:r>
        <w:rPr/>
        <w:t>de</w:t>
      </w:r>
      <w:r>
        <w:rPr>
          <w:spacing w:val="-5"/>
        </w:rPr>
        <w:t> </w:t>
      </w:r>
      <w:r>
        <w:rPr/>
        <w:t>Coordinación</w:t>
      </w:r>
      <w:r>
        <w:rPr>
          <w:spacing w:val="-6"/>
        </w:rPr>
        <w:t> </w:t>
      </w:r>
      <w:r>
        <w:rPr>
          <w:spacing w:val="-2"/>
        </w:rPr>
        <w:t>Fiscal</w:t>
      </w:r>
    </w:p>
    <w:p>
      <w:pPr>
        <w:pStyle w:val="BodyText"/>
        <w:spacing w:before="232"/>
        <w:ind w:left="1" w:firstLine="288"/>
      </w:pPr>
      <w:r>
        <w:rPr>
          <w:rFonts w:ascii="Arial" w:hAnsi="Arial"/>
          <w:b/>
        </w:rPr>
        <w:t>Artículo</w:t>
      </w:r>
      <w:r>
        <w:rPr>
          <w:rFonts w:ascii="Arial" w:hAnsi="Arial"/>
          <w:b/>
          <w:spacing w:val="32"/>
        </w:rPr>
        <w:t> </w:t>
      </w:r>
      <w:r>
        <w:rPr>
          <w:rFonts w:ascii="Arial" w:hAnsi="Arial"/>
          <w:b/>
        </w:rPr>
        <w:t>Décimo</w:t>
      </w:r>
      <w:r>
        <w:rPr>
          <w:rFonts w:ascii="Arial" w:hAnsi="Arial"/>
          <w:b/>
          <w:spacing w:val="32"/>
        </w:rPr>
        <w:t> </w:t>
      </w:r>
      <w:r>
        <w:rPr>
          <w:rFonts w:ascii="Arial" w:hAnsi="Arial"/>
          <w:b/>
        </w:rPr>
        <w:t>Tercero.</w:t>
      </w:r>
      <w:r>
        <w:rPr>
          <w:rFonts w:ascii="Arial" w:hAnsi="Arial"/>
          <w:b/>
          <w:spacing w:val="36"/>
        </w:rPr>
        <w:t> </w:t>
      </w:r>
      <w:r>
        <w:rPr/>
        <w:t>En</w:t>
      </w:r>
      <w:r>
        <w:rPr>
          <w:spacing w:val="31"/>
        </w:rPr>
        <w:t> </w:t>
      </w:r>
      <w:r>
        <w:rPr/>
        <w:t>relación</w:t>
      </w:r>
      <w:r>
        <w:rPr>
          <w:spacing w:val="31"/>
        </w:rPr>
        <w:t> </w:t>
      </w:r>
      <w:r>
        <w:rPr/>
        <w:t>con</w:t>
      </w:r>
      <w:r>
        <w:rPr>
          <w:spacing w:val="31"/>
        </w:rPr>
        <w:t> </w:t>
      </w:r>
      <w:r>
        <w:rPr/>
        <w:t>las</w:t>
      </w:r>
      <w:r>
        <w:rPr>
          <w:spacing w:val="32"/>
        </w:rPr>
        <w:t> </w:t>
      </w:r>
      <w:r>
        <w:rPr/>
        <w:t>modificaciones</w:t>
      </w:r>
      <w:r>
        <w:rPr>
          <w:spacing w:val="32"/>
        </w:rPr>
        <w:t> </w:t>
      </w:r>
      <w:r>
        <w:rPr/>
        <w:t>a</w:t>
      </w:r>
      <w:r>
        <w:rPr>
          <w:spacing w:val="31"/>
        </w:rPr>
        <w:t> </w:t>
      </w:r>
      <w:r>
        <w:rPr/>
        <w:t>que</w:t>
      </w:r>
      <w:r>
        <w:rPr>
          <w:spacing w:val="31"/>
        </w:rPr>
        <w:t> </w:t>
      </w:r>
      <w:r>
        <w:rPr/>
        <w:t>se</w:t>
      </w:r>
      <w:r>
        <w:rPr>
          <w:spacing w:val="31"/>
        </w:rPr>
        <w:t> </w:t>
      </w:r>
      <w:r>
        <w:rPr/>
        <w:t>refiere</w:t>
      </w:r>
      <w:r>
        <w:rPr>
          <w:spacing w:val="32"/>
        </w:rPr>
        <w:t> </w:t>
      </w:r>
      <w:r>
        <w:rPr/>
        <w:t>el</w:t>
      </w:r>
      <w:r>
        <w:rPr>
          <w:spacing w:val="30"/>
        </w:rPr>
        <w:t> </w:t>
      </w:r>
      <w:r>
        <w:rPr/>
        <w:t>Artículo</w:t>
      </w:r>
      <w:r>
        <w:rPr>
          <w:spacing w:val="31"/>
        </w:rPr>
        <w:t> </w:t>
      </w:r>
      <w:r>
        <w:rPr/>
        <w:t>Décimo Segundo que antecede, se estará a lo siguiente:</w:t>
      </w:r>
    </w:p>
    <w:p>
      <w:pPr>
        <w:pStyle w:val="ListParagraph"/>
        <w:numPr>
          <w:ilvl w:val="0"/>
          <w:numId w:val="18"/>
        </w:numPr>
        <w:tabs>
          <w:tab w:pos="1353" w:val="left" w:leader="none"/>
        </w:tabs>
        <w:spacing w:line="242" w:lineRule="auto" w:before="229" w:after="0"/>
        <w:ind w:left="1353" w:right="151" w:hanging="812"/>
        <w:jc w:val="both"/>
        <w:rPr>
          <w:sz w:val="20"/>
        </w:rPr>
      </w:pPr>
      <w:r>
        <w:rPr>
          <w:sz w:val="20"/>
        </w:rPr>
        <w:t>Las reformas y</w:t>
      </w:r>
      <w:r>
        <w:rPr>
          <w:spacing w:val="-4"/>
          <w:sz w:val="20"/>
        </w:rPr>
        <w:t> </w:t>
      </w:r>
      <w:r>
        <w:rPr>
          <w:sz w:val="20"/>
        </w:rPr>
        <w:t>adiciones a la Ley de Coordinación Fiscal entrarán en vigor a partir del 1o. de enero de 1996, con excepción de la reforma al último párrafo del artículo 3o., la cual entrará en vigor a partir del 1o. de enero de 1997.</w:t>
      </w:r>
    </w:p>
    <w:p>
      <w:pPr>
        <w:pStyle w:val="ListParagraph"/>
        <w:numPr>
          <w:ilvl w:val="0"/>
          <w:numId w:val="18"/>
        </w:numPr>
        <w:tabs>
          <w:tab w:pos="1353" w:val="left" w:leader="none"/>
        </w:tabs>
        <w:spacing w:line="242" w:lineRule="auto" w:before="222" w:after="0"/>
        <w:ind w:left="1353" w:right="148" w:hanging="812"/>
        <w:jc w:val="both"/>
        <w:rPr>
          <w:sz w:val="20"/>
        </w:rPr>
      </w:pPr>
      <w:r>
        <w:rPr>
          <w:sz w:val="20"/>
        </w:rPr>
        <w:t>El impuesto asignable correspondiente al impuesto sobre automóviles nuevos a que se refiere el último párrafo del artículo 3o. de la Ley de Coordinación Fiscal, para los años de 1995 y 1996, se determinará conforme a lo siguiente:</w:t>
      </w:r>
    </w:p>
    <w:p>
      <w:pPr>
        <w:pStyle w:val="ListParagraph"/>
        <w:numPr>
          <w:ilvl w:val="1"/>
          <w:numId w:val="18"/>
        </w:numPr>
        <w:tabs>
          <w:tab w:pos="1979" w:val="left" w:leader="none"/>
          <w:tab w:pos="1981" w:val="left" w:leader="none"/>
        </w:tabs>
        <w:spacing w:line="240" w:lineRule="auto" w:before="225" w:after="0"/>
        <w:ind w:left="1981" w:right="145" w:hanging="629"/>
        <w:jc w:val="both"/>
        <w:rPr>
          <w:sz w:val="20"/>
        </w:rPr>
      </w:pPr>
      <w:r>
        <w:rPr>
          <w:sz w:val="20"/>
        </w:rPr>
        <w:t>Se considerará como base la información mensual que presentan los fabricantes, ensambladores y</w:t>
      </w:r>
      <w:r>
        <w:rPr>
          <w:spacing w:val="-3"/>
          <w:sz w:val="20"/>
        </w:rPr>
        <w:t> </w:t>
      </w:r>
      <w:r>
        <w:rPr>
          <w:sz w:val="20"/>
        </w:rPr>
        <w:t>distribuidores</w:t>
      </w:r>
      <w:r>
        <w:rPr>
          <w:spacing w:val="-1"/>
          <w:sz w:val="20"/>
        </w:rPr>
        <w:t> </w:t>
      </w:r>
      <w:r>
        <w:rPr>
          <w:sz w:val="20"/>
        </w:rPr>
        <w:t>de</w:t>
      </w:r>
      <w:r>
        <w:rPr>
          <w:spacing w:val="-1"/>
          <w:sz w:val="20"/>
        </w:rPr>
        <w:t> </w:t>
      </w:r>
      <w:r>
        <w:rPr>
          <w:sz w:val="20"/>
        </w:rPr>
        <w:t>automóviles</w:t>
      </w:r>
      <w:r>
        <w:rPr>
          <w:spacing w:val="-1"/>
          <w:sz w:val="20"/>
        </w:rPr>
        <w:t> </w:t>
      </w:r>
      <w:r>
        <w:rPr>
          <w:sz w:val="20"/>
        </w:rPr>
        <w:t>nuevos</w:t>
      </w:r>
      <w:r>
        <w:rPr>
          <w:spacing w:val="-1"/>
          <w:sz w:val="20"/>
        </w:rPr>
        <w:t> </w:t>
      </w:r>
      <w:r>
        <w:rPr>
          <w:sz w:val="20"/>
        </w:rPr>
        <w:t>conforme</w:t>
      </w:r>
      <w:r>
        <w:rPr>
          <w:spacing w:val="-2"/>
          <w:sz w:val="20"/>
        </w:rPr>
        <w:t> </w:t>
      </w:r>
      <w:r>
        <w:rPr>
          <w:sz w:val="20"/>
        </w:rPr>
        <w:t>a</w:t>
      </w:r>
      <w:r>
        <w:rPr>
          <w:spacing w:val="-1"/>
          <w:sz w:val="20"/>
        </w:rPr>
        <w:t> </w:t>
      </w:r>
      <w:r>
        <w:rPr>
          <w:sz w:val="20"/>
        </w:rPr>
        <w:t>lo</w:t>
      </w:r>
      <w:r>
        <w:rPr>
          <w:spacing w:val="-1"/>
          <w:sz w:val="20"/>
        </w:rPr>
        <w:t> </w:t>
      </w:r>
      <w:r>
        <w:rPr>
          <w:sz w:val="20"/>
        </w:rPr>
        <w:t>dispuesto por el artículo 13 de la Ley de la materia.</w:t>
      </w:r>
    </w:p>
    <w:p>
      <w:pPr>
        <w:pStyle w:val="BodyText"/>
      </w:pPr>
    </w:p>
    <w:p>
      <w:pPr>
        <w:pStyle w:val="ListParagraph"/>
        <w:numPr>
          <w:ilvl w:val="1"/>
          <w:numId w:val="18"/>
        </w:numPr>
        <w:tabs>
          <w:tab w:pos="1979" w:val="left" w:leader="none"/>
          <w:tab w:pos="1981" w:val="left" w:leader="none"/>
        </w:tabs>
        <w:spacing w:line="242" w:lineRule="auto" w:before="0" w:after="0"/>
        <w:ind w:left="1981" w:right="141" w:hanging="629"/>
        <w:jc w:val="both"/>
        <w:rPr>
          <w:sz w:val="20"/>
        </w:rPr>
      </w:pPr>
      <w:r>
        <w:rPr>
          <w:sz w:val="20"/>
        </w:rPr>
        <w:t>A los precios de los automóviles contenidos en la información a que se refiere la fracción anterior; se aplicará la tarifa a que se refiere el artículo 3o. de la Ley del Impuesto Sobre Automóviles Nuevos, vigente al mes en que se efectuó la </w:t>
      </w:r>
      <w:r>
        <w:rPr>
          <w:spacing w:val="-2"/>
          <w:sz w:val="20"/>
        </w:rPr>
        <w:t>enajenación.</w:t>
      </w:r>
    </w:p>
    <w:p>
      <w:pPr>
        <w:pStyle w:val="BodyText"/>
        <w:spacing w:before="223"/>
        <w:ind w:left="1353" w:right="139"/>
        <w:jc w:val="both"/>
      </w:pPr>
      <w:r>
        <w:rPr/>
        <w:t>Para los estados en que se aplique lo dispuesto en la fracción II del artículo 8o. de la Ley del Impuesto Sobre Automóviles Nuevos, el impuesto asignable para los años de 1995 y 1996 se determinará conforme a este artículo.</w:t>
      </w:r>
    </w:p>
    <w:p>
      <w:pPr>
        <w:pStyle w:val="BodyText"/>
        <w:spacing w:after="0"/>
        <w:jc w:val="both"/>
        <w:sectPr>
          <w:pgSz w:w="12250" w:h="15850"/>
          <w:pgMar w:header="724" w:footer="712" w:top="1880" w:bottom="900" w:left="1417" w:right="1275"/>
        </w:sectPr>
      </w:pPr>
    </w:p>
    <w:p>
      <w:pPr>
        <w:pStyle w:val="BodyText"/>
      </w:pPr>
    </w:p>
    <w:p>
      <w:pPr>
        <w:pStyle w:val="BodyText"/>
        <w:spacing w:before="65"/>
      </w:pPr>
    </w:p>
    <w:p>
      <w:pPr>
        <w:pStyle w:val="ListParagraph"/>
        <w:numPr>
          <w:ilvl w:val="0"/>
          <w:numId w:val="18"/>
        </w:numPr>
        <w:tabs>
          <w:tab w:pos="1353" w:val="left" w:leader="none"/>
        </w:tabs>
        <w:spacing w:line="240" w:lineRule="auto" w:before="0" w:after="0"/>
        <w:ind w:left="1353" w:right="149" w:hanging="812"/>
        <w:jc w:val="both"/>
        <w:rPr>
          <w:sz w:val="20"/>
        </w:rPr>
      </w:pPr>
      <w:r>
        <w:rPr>
          <w:sz w:val="20"/>
        </w:rPr>
        <w:t>La reforma al tercer párrafo del artículo 9o. de la Ley de Coordinación Fiscal, no será aplicable a la deuda contraída por las entidades federativas y municipios al 31 de diciembre de 1995.</w:t>
      </w:r>
    </w:p>
    <w:p>
      <w:pPr>
        <w:pStyle w:val="Heading2"/>
        <w:spacing w:before="228"/>
        <w:ind w:left="0" w:right="139"/>
      </w:pPr>
      <w:r>
        <w:rPr/>
        <w:t>T</w:t>
      </w:r>
      <w:r>
        <w:rPr>
          <w:spacing w:val="-2"/>
        </w:rPr>
        <w:t> </w:t>
      </w:r>
      <w:r>
        <w:rPr/>
        <w:t>r</w:t>
      </w:r>
      <w:r>
        <w:rPr>
          <w:spacing w:val="1"/>
        </w:rPr>
        <w:t> </w:t>
      </w:r>
      <w:r>
        <w:rPr/>
        <w:t>a n</w:t>
      </w:r>
      <w:r>
        <w:rPr>
          <w:spacing w:val="1"/>
        </w:rPr>
        <w:t> </w:t>
      </w:r>
      <w:r>
        <w:rPr/>
        <w:t>s</w:t>
      </w:r>
      <w:r>
        <w:rPr>
          <w:spacing w:val="-4"/>
        </w:rPr>
        <w:t> </w:t>
      </w:r>
      <w:r>
        <w:rPr/>
        <w:t>i</w:t>
      </w:r>
      <w:r>
        <w:rPr>
          <w:spacing w:val="-1"/>
        </w:rPr>
        <w:t> </w:t>
      </w:r>
      <w:r>
        <w:rPr/>
        <w:t>t</w:t>
      </w:r>
      <w:r>
        <w:rPr>
          <w:spacing w:val="1"/>
        </w:rPr>
        <w:t> </w:t>
      </w:r>
      <w:r>
        <w:rPr/>
        <w:t>o</w:t>
      </w:r>
      <w:r>
        <w:rPr>
          <w:spacing w:val="-2"/>
        </w:rPr>
        <w:t> </w:t>
      </w:r>
      <w:r>
        <w:rPr/>
        <w:t>r</w:t>
      </w:r>
      <w:r>
        <w:rPr>
          <w:spacing w:val="-1"/>
        </w:rPr>
        <w:t> </w:t>
      </w:r>
      <w:r>
        <w:rPr/>
        <w:t>i</w:t>
      </w:r>
      <w:r>
        <w:rPr>
          <w:spacing w:val="-1"/>
        </w:rPr>
        <w:t> </w:t>
      </w:r>
      <w:r>
        <w:rPr/>
        <w:t>o </w:t>
      </w:r>
      <w:r>
        <w:rPr>
          <w:spacing w:val="-12"/>
        </w:rPr>
        <w:t>s</w:t>
      </w:r>
    </w:p>
    <w:p>
      <w:pPr>
        <w:pStyle w:val="BodyText"/>
        <w:spacing w:before="231"/>
        <w:ind w:left="289"/>
      </w:pPr>
      <w:r>
        <w:rPr>
          <w:rFonts w:ascii="Arial" w:hAnsi="Arial"/>
          <w:b/>
        </w:rPr>
        <w:t>Primero.</w:t>
      </w:r>
      <w:r>
        <w:rPr>
          <w:rFonts w:ascii="Arial" w:hAnsi="Arial"/>
          <w:b/>
          <w:spacing w:val="-4"/>
        </w:rPr>
        <w:t> </w:t>
      </w:r>
      <w:r>
        <w:rPr/>
        <w:t>El</w:t>
      </w:r>
      <w:r>
        <w:rPr>
          <w:spacing w:val="-4"/>
        </w:rPr>
        <w:t> </w:t>
      </w:r>
      <w:r>
        <w:rPr/>
        <w:t>presente</w:t>
      </w:r>
      <w:r>
        <w:rPr>
          <w:spacing w:val="-7"/>
        </w:rPr>
        <w:t> </w:t>
      </w:r>
      <w:r>
        <w:rPr/>
        <w:t>Decreto</w:t>
      </w:r>
      <w:r>
        <w:rPr>
          <w:spacing w:val="-7"/>
        </w:rPr>
        <w:t> </w:t>
      </w:r>
      <w:r>
        <w:rPr/>
        <w:t>entrará</w:t>
      </w:r>
      <w:r>
        <w:rPr>
          <w:spacing w:val="-4"/>
        </w:rPr>
        <w:t> </w:t>
      </w:r>
      <w:r>
        <w:rPr/>
        <w:t>en</w:t>
      </w:r>
      <w:r>
        <w:rPr>
          <w:spacing w:val="-4"/>
        </w:rPr>
        <w:t> </w:t>
      </w:r>
      <w:r>
        <w:rPr/>
        <w:t>vigor</w:t>
      </w:r>
      <w:r>
        <w:rPr>
          <w:spacing w:val="-5"/>
        </w:rPr>
        <w:t> </w:t>
      </w:r>
      <w:r>
        <w:rPr/>
        <w:t>el</w:t>
      </w:r>
      <w:r>
        <w:rPr>
          <w:spacing w:val="-7"/>
        </w:rPr>
        <w:t> </w:t>
      </w:r>
      <w:r>
        <w:rPr/>
        <w:t>1o.</w:t>
      </w:r>
      <w:r>
        <w:rPr>
          <w:spacing w:val="-6"/>
        </w:rPr>
        <w:t> </w:t>
      </w:r>
      <w:r>
        <w:rPr/>
        <w:t>de</w:t>
      </w:r>
      <w:r>
        <w:rPr>
          <w:spacing w:val="-5"/>
        </w:rPr>
        <w:t> </w:t>
      </w:r>
      <w:r>
        <w:rPr/>
        <w:t>enero</w:t>
      </w:r>
      <w:r>
        <w:rPr>
          <w:spacing w:val="-6"/>
        </w:rPr>
        <w:t> </w:t>
      </w:r>
      <w:r>
        <w:rPr/>
        <w:t>de</w:t>
      </w:r>
      <w:r>
        <w:rPr>
          <w:spacing w:val="-6"/>
        </w:rPr>
        <w:t> </w:t>
      </w:r>
      <w:r>
        <w:rPr>
          <w:spacing w:val="-2"/>
        </w:rPr>
        <w:t>1996.</w:t>
      </w:r>
    </w:p>
    <w:p>
      <w:pPr>
        <w:pStyle w:val="BodyText"/>
        <w:spacing w:before="1"/>
      </w:pPr>
    </w:p>
    <w:p>
      <w:pPr>
        <w:pStyle w:val="BodyText"/>
        <w:ind w:left="1" w:right="140" w:firstLine="288"/>
        <w:jc w:val="both"/>
      </w:pPr>
      <w:r>
        <w:rPr>
          <w:rFonts w:ascii="Arial" w:hAnsi="Arial"/>
          <w:b/>
        </w:rPr>
        <w:t>Segundo. </w:t>
      </w:r>
      <w:r>
        <w:rPr/>
        <w:t>De conformidad con la disposición del Banco de México publicada</w:t>
      </w:r>
      <w:r>
        <w:rPr>
          <w:spacing w:val="20"/>
        </w:rPr>
        <w:t> </w:t>
      </w:r>
      <w:r>
        <w:rPr/>
        <w:t>en el </w:t>
      </w:r>
      <w:r>
        <w:rPr>
          <w:rFonts w:ascii="Arial" w:hAnsi="Arial"/>
          <w:b/>
        </w:rPr>
        <w:t>Diario Oficial de</w:t>
      </w:r>
      <w:r>
        <w:rPr>
          <w:rFonts w:ascii="Arial" w:hAnsi="Arial"/>
          <w:b/>
          <w:spacing w:val="40"/>
        </w:rPr>
        <w:t> </w:t>
      </w:r>
      <w:r>
        <w:rPr>
          <w:rFonts w:ascii="Arial" w:hAnsi="Arial"/>
          <w:b/>
        </w:rPr>
        <w:t>la Federación </w:t>
      </w:r>
      <w:r>
        <w:rPr/>
        <w:t>el día 6 de enero de 1994, todas las sumas en moneda nacional que en las leyes fiscales se encuentren expresadas en "nuevos pesos" y su abreviatura "N", a partir del 1o. de enero de 1996 deberán entenderse como "pesos" y su símbolo "$".</w:t>
      </w:r>
    </w:p>
    <w:p>
      <w:pPr>
        <w:pStyle w:val="BodyText"/>
      </w:pPr>
    </w:p>
    <w:p>
      <w:pPr>
        <w:spacing w:line="242" w:lineRule="auto" w:before="0"/>
        <w:ind w:left="1" w:right="140" w:firstLine="288"/>
        <w:jc w:val="both"/>
        <w:rPr>
          <w:sz w:val="20"/>
        </w:rPr>
      </w:pPr>
      <w:r>
        <w:rPr>
          <w:sz w:val="20"/>
        </w:rPr>
        <w:t>México, D.F., a 7 de diciembre de 1995.- Dip. </w:t>
      </w:r>
      <w:r>
        <w:rPr>
          <w:rFonts w:ascii="Arial" w:hAnsi="Arial"/>
          <w:b/>
          <w:sz w:val="20"/>
        </w:rPr>
        <w:t>Oscar Cantón Zetina</w:t>
      </w:r>
      <w:r>
        <w:rPr>
          <w:sz w:val="20"/>
        </w:rPr>
        <w:t>, Presidente.- Sen. </w:t>
      </w:r>
      <w:r>
        <w:rPr>
          <w:rFonts w:ascii="Arial" w:hAnsi="Arial"/>
          <w:b/>
          <w:sz w:val="20"/>
        </w:rPr>
        <w:t>Gustavo Carvajal Moreno</w:t>
      </w:r>
      <w:r>
        <w:rPr>
          <w:sz w:val="20"/>
        </w:rPr>
        <w:t>, Presidente.- Dip. </w:t>
      </w:r>
      <w:r>
        <w:rPr>
          <w:rFonts w:ascii="Arial" w:hAnsi="Arial"/>
          <w:b/>
          <w:sz w:val="20"/>
        </w:rPr>
        <w:t>Emilio Solórzano Solís</w:t>
      </w:r>
      <w:r>
        <w:rPr>
          <w:sz w:val="20"/>
        </w:rPr>
        <w:t>, Secretario.- Sen. </w:t>
      </w:r>
      <w:r>
        <w:rPr>
          <w:rFonts w:ascii="Arial" w:hAnsi="Arial"/>
          <w:b/>
          <w:sz w:val="20"/>
        </w:rPr>
        <w:t>Jorge G. López Tijerina</w:t>
      </w:r>
      <w:r>
        <w:rPr>
          <w:sz w:val="20"/>
        </w:rPr>
        <w:t>, Secretario.- Rúbricas".</w:t>
      </w:r>
    </w:p>
    <w:p>
      <w:pPr>
        <w:pStyle w:val="BodyText"/>
        <w:spacing w:before="225"/>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trece días del mes de diciembre de mil novecientos noventa y cinco.-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jc w:val="left"/>
      </w:pPr>
      <w:r>
        <w:rPr/>
        <w:t>LEY</w:t>
      </w:r>
      <w:r>
        <w:rPr>
          <w:spacing w:val="-5"/>
        </w:rPr>
        <w:t> </w:t>
      </w:r>
      <w:r>
        <w:rPr/>
        <w:t>que</w:t>
      </w:r>
      <w:r>
        <w:rPr>
          <w:spacing w:val="-5"/>
        </w:rPr>
        <w:t> </w:t>
      </w:r>
      <w:r>
        <w:rPr/>
        <w:t>establece</w:t>
      </w:r>
      <w:r>
        <w:rPr>
          <w:spacing w:val="-4"/>
        </w:rPr>
        <w:t> </w:t>
      </w:r>
      <w:r>
        <w:rPr/>
        <w:t>y</w:t>
      </w:r>
      <w:r>
        <w:rPr>
          <w:spacing w:val="-9"/>
        </w:rPr>
        <w:t> </w:t>
      </w:r>
      <w:r>
        <w:rPr/>
        <w:t>modifica</w:t>
      </w:r>
      <w:r>
        <w:rPr>
          <w:spacing w:val="-4"/>
        </w:rPr>
        <w:t> </w:t>
      </w:r>
      <w:r>
        <w:rPr/>
        <w:t>diversas</w:t>
      </w:r>
      <w:r>
        <w:rPr>
          <w:spacing w:val="-5"/>
        </w:rPr>
        <w:t> </w:t>
      </w:r>
      <w:r>
        <w:rPr/>
        <w:t>Leyes</w:t>
      </w:r>
      <w:r>
        <w:rPr>
          <w:spacing w:val="-2"/>
        </w:rPr>
        <w:t> Fiscales.</w:t>
      </w:r>
    </w:p>
    <w:p>
      <w:pPr>
        <w:spacing w:before="233"/>
        <w:ind w:left="1156" w:right="1299"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1996</w:t>
      </w:r>
    </w:p>
    <w:p>
      <w:pPr>
        <w:pStyle w:val="BodyText"/>
        <w:spacing w:before="45"/>
        <w:rPr>
          <w:sz w:val="16"/>
        </w:rPr>
      </w:pPr>
    </w:p>
    <w:p>
      <w:pPr>
        <w:spacing w:before="1"/>
        <w:ind w:left="1156" w:right="1301" w:firstLine="0"/>
        <w:jc w:val="center"/>
        <w:rPr>
          <w:rFonts w:ascii="Arial"/>
          <w:b/>
          <w:sz w:val="20"/>
        </w:rPr>
      </w:pPr>
      <w:r>
        <w:rPr>
          <w:rFonts w:ascii="Arial"/>
          <w:b/>
          <w:sz w:val="20"/>
        </w:rPr>
        <w:t>LEY</w:t>
      </w:r>
      <w:r>
        <w:rPr>
          <w:rFonts w:ascii="Arial"/>
          <w:b/>
          <w:spacing w:val="-7"/>
          <w:sz w:val="20"/>
        </w:rPr>
        <w:t> </w:t>
      </w:r>
      <w:r>
        <w:rPr>
          <w:rFonts w:ascii="Arial"/>
          <w:b/>
          <w:sz w:val="20"/>
        </w:rPr>
        <w:t>DE</w:t>
      </w:r>
      <w:r>
        <w:rPr>
          <w:rFonts w:ascii="Arial"/>
          <w:b/>
          <w:spacing w:val="-8"/>
          <w:sz w:val="20"/>
        </w:rPr>
        <w:t> </w:t>
      </w:r>
      <w:r>
        <w:rPr>
          <w:rFonts w:ascii="Arial"/>
          <w:b/>
          <w:sz w:val="20"/>
        </w:rPr>
        <w:t>COORDINACION</w:t>
      </w:r>
      <w:r>
        <w:rPr>
          <w:rFonts w:ascii="Arial"/>
          <w:b/>
          <w:spacing w:val="-6"/>
          <w:sz w:val="20"/>
        </w:rPr>
        <w:t> </w:t>
      </w:r>
      <w:r>
        <w:rPr>
          <w:rFonts w:ascii="Arial"/>
          <w:b/>
          <w:spacing w:val="-2"/>
          <w:sz w:val="20"/>
        </w:rPr>
        <w:t>FISCAL</w:t>
      </w:r>
    </w:p>
    <w:p>
      <w:pPr>
        <w:pStyle w:val="BodyText"/>
        <w:spacing w:line="242" w:lineRule="auto" w:before="228"/>
        <w:ind w:left="1" w:right="140" w:firstLine="288"/>
        <w:jc w:val="both"/>
      </w:pPr>
      <w:r>
        <w:rPr>
          <w:rFonts w:ascii="Arial" w:hAnsi="Arial"/>
          <w:b/>
        </w:rPr>
        <w:t>Artículo Décimo.- </w:t>
      </w:r>
      <w:r>
        <w:rPr/>
        <w:t>Se </w:t>
      </w:r>
      <w:r>
        <w:rPr>
          <w:rFonts w:ascii="Arial" w:hAnsi="Arial"/>
          <w:b/>
        </w:rPr>
        <w:t>REFORMAN </w:t>
      </w:r>
      <w:r>
        <w:rPr/>
        <w:t>los artículos 2o., cuarto párrafo y el actual último párrafo; 3o., último párrafo; 6o., tercer párrafo y 15, tercer párrafo, y se </w:t>
      </w:r>
      <w:r>
        <w:rPr>
          <w:rFonts w:ascii="Arial" w:hAnsi="Arial"/>
          <w:b/>
        </w:rPr>
        <w:t>ADICIONA </w:t>
      </w:r>
      <w:r>
        <w:rPr/>
        <w:t>el artículo 2o., con un último párrafo, de la Ley de Coordinación Fiscal, para quedar como sigue:</w:t>
      </w:r>
    </w:p>
    <w:p>
      <w:pPr>
        <w:spacing w:before="227"/>
        <w:ind w:left="289" w:right="0" w:firstLine="0"/>
        <w:jc w:val="left"/>
        <w:rPr>
          <w:sz w:val="20"/>
        </w:rPr>
      </w:pPr>
      <w:r>
        <w:rPr>
          <w:spacing w:val="-2"/>
          <w:sz w:val="20"/>
        </w:rPr>
        <w:t>..........</w:t>
      </w:r>
    </w:p>
    <w:p>
      <w:pPr>
        <w:pStyle w:val="Heading2"/>
        <w:spacing w:before="225"/>
        <w:ind w:left="0" w:right="139"/>
      </w:pPr>
      <w:r>
        <w:rPr/>
        <w:t>Disposición</w:t>
      </w:r>
      <w:r>
        <w:rPr>
          <w:spacing w:val="-6"/>
        </w:rPr>
        <w:t> </w:t>
      </w:r>
      <w:r>
        <w:rPr/>
        <w:t>Transitoria</w:t>
      </w:r>
      <w:r>
        <w:rPr>
          <w:spacing w:val="-6"/>
        </w:rPr>
        <w:t> </w:t>
      </w:r>
      <w:r>
        <w:rPr/>
        <w:t>de</w:t>
      </w:r>
      <w:r>
        <w:rPr>
          <w:spacing w:val="-6"/>
        </w:rPr>
        <w:t> </w:t>
      </w:r>
      <w:r>
        <w:rPr/>
        <w:t>la</w:t>
      </w:r>
      <w:r>
        <w:rPr>
          <w:spacing w:val="-4"/>
        </w:rPr>
        <w:t> </w:t>
      </w:r>
      <w:r>
        <w:rPr/>
        <w:t>Ley</w:t>
      </w:r>
      <w:r>
        <w:rPr>
          <w:spacing w:val="-9"/>
        </w:rPr>
        <w:t> </w:t>
      </w:r>
      <w:r>
        <w:rPr/>
        <w:t>de</w:t>
      </w:r>
      <w:r>
        <w:rPr>
          <w:spacing w:val="-4"/>
        </w:rPr>
        <w:t> </w:t>
      </w:r>
      <w:r>
        <w:rPr/>
        <w:t>Coordinación</w:t>
      </w:r>
      <w:r>
        <w:rPr>
          <w:spacing w:val="-3"/>
        </w:rPr>
        <w:t> </w:t>
      </w:r>
      <w:r>
        <w:rPr>
          <w:spacing w:val="-2"/>
        </w:rPr>
        <w:t>Fiscal</w:t>
      </w:r>
    </w:p>
    <w:p>
      <w:pPr>
        <w:pStyle w:val="BodyText"/>
        <w:spacing w:before="1"/>
        <w:rPr>
          <w:rFonts w:ascii="Arial"/>
          <w:b/>
        </w:rPr>
      </w:pPr>
    </w:p>
    <w:p>
      <w:pPr>
        <w:pStyle w:val="BodyText"/>
        <w:spacing w:line="242" w:lineRule="auto"/>
        <w:ind w:left="1" w:right="144" w:firstLine="288"/>
        <w:jc w:val="both"/>
      </w:pPr>
      <w:r>
        <w:rPr>
          <w:rFonts w:ascii="Arial" w:hAnsi="Arial"/>
          <w:b/>
        </w:rPr>
        <w:t>Artículo</w:t>
      </w:r>
      <w:r>
        <w:rPr>
          <w:rFonts w:ascii="Arial" w:hAnsi="Arial"/>
          <w:b/>
          <w:spacing w:val="-1"/>
        </w:rPr>
        <w:t> </w:t>
      </w:r>
      <w:r>
        <w:rPr>
          <w:rFonts w:ascii="Arial" w:hAnsi="Arial"/>
          <w:b/>
        </w:rPr>
        <w:t>Décimo</w:t>
      </w:r>
      <w:r>
        <w:rPr>
          <w:rFonts w:ascii="Arial" w:hAnsi="Arial"/>
          <w:b/>
          <w:spacing w:val="-1"/>
        </w:rPr>
        <w:t> </w:t>
      </w:r>
      <w:r>
        <w:rPr>
          <w:rFonts w:ascii="Arial" w:hAnsi="Arial"/>
          <w:b/>
        </w:rPr>
        <w:t>Primero.-</w:t>
      </w:r>
      <w:r>
        <w:rPr>
          <w:rFonts w:ascii="Arial" w:hAnsi="Arial"/>
          <w:b/>
          <w:spacing w:val="-2"/>
        </w:rPr>
        <w:t> </w:t>
      </w:r>
      <w:r>
        <w:rPr/>
        <w:t>En</w:t>
      </w:r>
      <w:r>
        <w:rPr>
          <w:spacing w:val="-2"/>
        </w:rPr>
        <w:t> </w:t>
      </w:r>
      <w:r>
        <w:rPr/>
        <w:t>relación</w:t>
      </w:r>
      <w:r>
        <w:rPr>
          <w:spacing w:val="-3"/>
        </w:rPr>
        <w:t> </w:t>
      </w:r>
      <w:r>
        <w:rPr/>
        <w:t>con</w:t>
      </w:r>
      <w:r>
        <w:rPr>
          <w:spacing w:val="-2"/>
        </w:rPr>
        <w:t> </w:t>
      </w:r>
      <w:r>
        <w:rPr/>
        <w:t>las</w:t>
      </w:r>
      <w:r>
        <w:rPr>
          <w:spacing w:val="-2"/>
        </w:rPr>
        <w:t> </w:t>
      </w:r>
      <w:r>
        <w:rPr/>
        <w:t>modificaciones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2"/>
        </w:rPr>
        <w:t> </w:t>
      </w:r>
      <w:r>
        <w:rPr/>
        <w:t>Artículo</w:t>
      </w:r>
      <w:r>
        <w:rPr>
          <w:spacing w:val="-2"/>
        </w:rPr>
        <w:t> </w:t>
      </w:r>
      <w:r>
        <w:rPr/>
        <w:t>Décimo</w:t>
      </w:r>
      <w:r>
        <w:rPr>
          <w:spacing w:val="-3"/>
        </w:rPr>
        <w:t> </w:t>
      </w:r>
      <w:r>
        <w:rPr/>
        <w:t>que antecede, se estará a lo siguiente:</w:t>
      </w:r>
    </w:p>
    <w:p>
      <w:pPr>
        <w:pStyle w:val="BodyText"/>
        <w:spacing w:before="227"/>
        <w:ind w:left="1" w:right="141" w:firstLine="288"/>
        <w:jc w:val="both"/>
      </w:pPr>
      <w:r>
        <w:rPr>
          <w:rFonts w:ascii="Arial" w:hAnsi="Arial"/>
          <w:b/>
        </w:rPr>
        <w:t>I.- </w:t>
      </w:r>
      <w:r>
        <w:rPr/>
        <w:t>Se deja sin efecto la reforma al</w:t>
      </w:r>
      <w:r>
        <w:rPr>
          <w:spacing w:val="-1"/>
        </w:rPr>
        <w:t> </w:t>
      </w:r>
      <w:r>
        <w:rPr/>
        <w:t>último párrafo del</w:t>
      </w:r>
      <w:r>
        <w:rPr>
          <w:spacing w:val="-1"/>
        </w:rPr>
        <w:t> </w:t>
      </w:r>
      <w:r>
        <w:rPr/>
        <w:t>artículo 3o., de</w:t>
      </w:r>
      <w:r>
        <w:rPr>
          <w:spacing w:val="-1"/>
        </w:rPr>
        <w:t> </w:t>
      </w:r>
      <w:r>
        <w:rPr/>
        <w:t>la Ley</w:t>
      </w:r>
      <w:r>
        <w:rPr>
          <w:spacing w:val="-3"/>
        </w:rPr>
        <w:t> </w:t>
      </w:r>
      <w:r>
        <w:rPr/>
        <w:t>de</w:t>
      </w:r>
      <w:r>
        <w:rPr>
          <w:spacing w:val="-1"/>
        </w:rPr>
        <w:t> </w:t>
      </w:r>
      <w:r>
        <w:rPr/>
        <w:t>Coordinación</w:t>
      </w:r>
      <w:r>
        <w:rPr>
          <w:spacing w:val="-1"/>
        </w:rPr>
        <w:t> </w:t>
      </w:r>
      <w:r>
        <w:rPr/>
        <w:t>Fiscal, que de</w:t>
      </w:r>
      <w:r>
        <w:rPr>
          <w:spacing w:val="-2"/>
        </w:rPr>
        <w:t> </w:t>
      </w:r>
      <w:r>
        <w:rPr/>
        <w:t>conformidad</w:t>
      </w:r>
      <w:r>
        <w:rPr>
          <w:spacing w:val="-1"/>
        </w:rPr>
        <w:t> </w:t>
      </w:r>
      <w:r>
        <w:rPr/>
        <w:t>con</w:t>
      </w:r>
      <w:r>
        <w:rPr>
          <w:spacing w:val="-2"/>
        </w:rPr>
        <w:t> </w:t>
      </w:r>
      <w:r>
        <w:rPr/>
        <w:t>el</w:t>
      </w:r>
      <w:r>
        <w:rPr>
          <w:spacing w:val="-2"/>
        </w:rPr>
        <w:t> </w:t>
      </w:r>
      <w:r>
        <w:rPr/>
        <w:t>Artículo</w:t>
      </w:r>
      <w:r>
        <w:rPr>
          <w:spacing w:val="-1"/>
        </w:rPr>
        <w:t> </w:t>
      </w:r>
      <w:r>
        <w:rPr/>
        <w:t>Décimo</w:t>
      </w:r>
      <w:r>
        <w:rPr>
          <w:spacing w:val="-1"/>
        </w:rPr>
        <w:t> </w:t>
      </w:r>
      <w:r>
        <w:rPr/>
        <w:t>Tercero,</w:t>
      </w:r>
      <w:r>
        <w:rPr>
          <w:spacing w:val="-1"/>
        </w:rPr>
        <w:t> </w:t>
      </w:r>
      <w:r>
        <w:rPr/>
        <w:t>fracción</w:t>
      </w:r>
      <w:r>
        <w:rPr>
          <w:spacing w:val="-1"/>
        </w:rPr>
        <w:t> </w:t>
      </w:r>
      <w:r>
        <w:rPr/>
        <w:t>I</w:t>
      </w:r>
      <w:r>
        <w:rPr>
          <w:spacing w:val="-1"/>
        </w:rPr>
        <w:t> </w:t>
      </w:r>
      <w:r>
        <w:rPr/>
        <w:t>del</w:t>
      </w:r>
      <w:r>
        <w:rPr>
          <w:spacing w:val="-2"/>
        </w:rPr>
        <w:t> </w:t>
      </w:r>
      <w:r>
        <w:rPr/>
        <w:t>Decreto</w:t>
      </w:r>
      <w:r>
        <w:rPr>
          <w:spacing w:val="-1"/>
        </w:rPr>
        <w:t> </w:t>
      </w:r>
      <w:r>
        <w:rPr/>
        <w:t>por el</w:t>
      </w:r>
      <w:r>
        <w:rPr>
          <w:spacing w:val="-2"/>
        </w:rPr>
        <w:t> </w:t>
      </w:r>
      <w:r>
        <w:rPr/>
        <w:t>que</w:t>
      </w:r>
      <w:r>
        <w:rPr>
          <w:spacing w:val="-2"/>
        </w:rPr>
        <w:t> </w:t>
      </w:r>
      <w:r>
        <w:rPr/>
        <w:t>se expiden nuevas leyes fiscales y</w:t>
      </w:r>
      <w:r>
        <w:rPr>
          <w:spacing w:val="-5"/>
        </w:rPr>
        <w:t> </w:t>
      </w:r>
      <w:r>
        <w:rPr/>
        <w:t>se</w:t>
      </w:r>
      <w:r>
        <w:rPr>
          <w:spacing w:val="-2"/>
        </w:rPr>
        <w:t> </w:t>
      </w:r>
      <w:r>
        <w:rPr/>
        <w:t>modifican</w:t>
      </w:r>
      <w:r>
        <w:rPr>
          <w:spacing w:val="-3"/>
        </w:rPr>
        <w:t> </w:t>
      </w:r>
      <w:r>
        <w:rPr/>
        <w:t>otras,</w:t>
      </w:r>
      <w:r>
        <w:rPr>
          <w:spacing w:val="-2"/>
        </w:rPr>
        <w:t> </w:t>
      </w:r>
      <w:r>
        <w:rPr/>
        <w:t>publicado</w:t>
      </w:r>
      <w:r>
        <w:rPr>
          <w:spacing w:val="-2"/>
        </w:rPr>
        <w:t> </w:t>
      </w:r>
      <w:r>
        <w:rPr/>
        <w:t>en</w:t>
      </w:r>
      <w:r>
        <w:rPr>
          <w:spacing w:val="-2"/>
        </w:rPr>
        <w:t> </w:t>
      </w:r>
      <w:r>
        <w:rPr/>
        <w:t>el </w:t>
      </w:r>
      <w:r>
        <w:rPr>
          <w:rFonts w:ascii="Arial" w:hAnsi="Arial"/>
          <w:b/>
        </w:rPr>
        <w:t>Diario</w:t>
      </w:r>
      <w:r>
        <w:rPr>
          <w:rFonts w:ascii="Arial" w:hAnsi="Arial"/>
          <w:b/>
          <w:spacing w:val="-2"/>
        </w:rPr>
        <w:t> </w:t>
      </w:r>
      <w:r>
        <w:rPr>
          <w:rFonts w:ascii="Arial" w:hAnsi="Arial"/>
          <w:b/>
        </w:rPr>
        <w:t>Oficial</w:t>
      </w:r>
      <w:r>
        <w:rPr>
          <w:rFonts w:ascii="Arial" w:hAnsi="Arial"/>
          <w:b/>
          <w:spacing w:val="-2"/>
        </w:rPr>
        <w:t> </w:t>
      </w:r>
      <w:r>
        <w:rPr>
          <w:rFonts w:ascii="Arial" w:hAnsi="Arial"/>
          <w:b/>
        </w:rPr>
        <w:t>de</w:t>
      </w:r>
      <w:r>
        <w:rPr>
          <w:rFonts w:ascii="Arial" w:hAnsi="Arial"/>
          <w:b/>
          <w:spacing w:val="-1"/>
        </w:rPr>
        <w:t> </w:t>
      </w:r>
      <w:r>
        <w:rPr>
          <w:rFonts w:ascii="Arial" w:hAnsi="Arial"/>
          <w:b/>
        </w:rPr>
        <w:t>la</w:t>
      </w:r>
      <w:r>
        <w:rPr>
          <w:rFonts w:ascii="Arial" w:hAnsi="Arial"/>
          <w:b/>
          <w:spacing w:val="-3"/>
        </w:rPr>
        <w:t> </w:t>
      </w:r>
      <w:r>
        <w:rPr>
          <w:rFonts w:ascii="Arial" w:hAnsi="Arial"/>
          <w:b/>
        </w:rPr>
        <w:t>Federación </w:t>
      </w:r>
      <w:r>
        <w:rPr/>
        <w:t>el</w:t>
      </w:r>
      <w:r>
        <w:rPr>
          <w:spacing w:val="-1"/>
        </w:rPr>
        <w:t> </w:t>
      </w:r>
      <w:r>
        <w:rPr/>
        <w:t>15</w:t>
      </w:r>
      <w:r>
        <w:rPr>
          <w:spacing w:val="-2"/>
        </w:rPr>
        <w:t> </w:t>
      </w:r>
      <w:r>
        <w:rPr/>
        <w:t>de</w:t>
      </w:r>
      <w:r>
        <w:rPr>
          <w:spacing w:val="-2"/>
        </w:rPr>
        <w:t> </w:t>
      </w:r>
      <w:r>
        <w:rPr/>
        <w:t>diciembre</w:t>
      </w:r>
      <w:r>
        <w:rPr>
          <w:spacing w:val="-2"/>
        </w:rPr>
        <w:t> </w:t>
      </w:r>
      <w:r>
        <w:rPr/>
        <w:t>de</w:t>
      </w:r>
      <w:r>
        <w:rPr>
          <w:spacing w:val="-3"/>
        </w:rPr>
        <w:t> </w:t>
      </w:r>
      <w:r>
        <w:rPr/>
        <w:t>1995, entraría en vigor el 1o. de enero de 1997.</w:t>
      </w:r>
    </w:p>
    <w:p>
      <w:pPr>
        <w:pStyle w:val="BodyText"/>
        <w:spacing w:line="242" w:lineRule="auto" w:before="230"/>
        <w:ind w:left="1" w:right="140" w:firstLine="288"/>
        <w:jc w:val="both"/>
      </w:pPr>
      <w:r>
        <w:rPr>
          <w:rFonts w:ascii="Arial" w:hAnsi="Arial"/>
          <w:b/>
        </w:rPr>
        <w:t>II.- </w:t>
      </w:r>
      <w:r>
        <w:rPr/>
        <w:t>El impuesto asignable correspondiente al impuesto sobre automóviles nuevos a que se refiere el último párrafo del artículo 3o. de la Ley de Coordinación Fiscal, para los años de 1995 y 1996, se determinará conforme a lo siguiente:</w:t>
      </w:r>
    </w:p>
    <w:p>
      <w:pPr>
        <w:pStyle w:val="BodyText"/>
        <w:spacing w:line="242" w:lineRule="auto" w:before="222"/>
        <w:ind w:left="1" w:right="149" w:firstLine="288"/>
        <w:jc w:val="both"/>
      </w:pPr>
      <w:r>
        <w:rPr>
          <w:rFonts w:ascii="Arial" w:hAnsi="Arial"/>
          <w:b/>
        </w:rPr>
        <w:t>a).- </w:t>
      </w:r>
      <w:r>
        <w:rPr/>
        <w:t>Se considerará como base la información mensual que presentan los fabricantes, ensambladores y distribuidores de automóviles nuevos conforme a lo dispuesto por el artículo 13 de la Ley de la materia, vigente hasta el 31 de diciembre de 1996.</w:t>
      </w:r>
    </w:p>
    <w:p>
      <w:pPr>
        <w:pStyle w:val="BodyText"/>
        <w:spacing w:before="225"/>
        <w:ind w:left="1" w:right="148" w:firstLine="288"/>
        <w:jc w:val="both"/>
      </w:pPr>
      <w:r>
        <w:rPr>
          <w:rFonts w:ascii="Arial" w:hAnsi="Arial"/>
          <w:b/>
        </w:rPr>
        <w:t>b).- </w:t>
      </w:r>
      <w:r>
        <w:rPr/>
        <w:t>A los precios de los automóviles contenidos en la información a que se refiere la fracción anterior, se aplicará la tarifa a que se refiere el artículo 3o. de la Ley del Impuesto sobre Automóviles Nuevos, vigente al mes en que se efectuó la enajenación.</w:t>
      </w:r>
    </w:p>
    <w:p>
      <w:pPr>
        <w:pStyle w:val="BodyText"/>
        <w:spacing w:before="2"/>
      </w:pPr>
    </w:p>
    <w:p>
      <w:pPr>
        <w:pStyle w:val="BodyText"/>
        <w:ind w:left="1" w:right="148" w:firstLine="288"/>
        <w:jc w:val="both"/>
      </w:pPr>
      <w:r>
        <w:rPr/>
        <w:t>Para las entidades en que se aplique lo dispuesto en la fracción II del artículo 8o. de la Ley del Impuesto sobre Automóviles Nuevos, vigente hasta el 31 de diciembre de 1996, el impuesto asignable para los años de 1995 y 1996 se determinará conforme a este artículo.</w:t>
      </w:r>
    </w:p>
    <w:p>
      <w:pPr>
        <w:pStyle w:val="BodyText"/>
        <w:spacing w:line="242" w:lineRule="auto" w:before="227"/>
        <w:ind w:left="1" w:right="141" w:firstLine="288"/>
        <w:jc w:val="both"/>
      </w:pPr>
      <w:r>
        <w:rPr>
          <w:rFonts w:ascii="Arial" w:hAnsi="Arial"/>
          <w:b/>
        </w:rPr>
        <w:t>III.- </w:t>
      </w:r>
      <w:r>
        <w:rPr/>
        <w:t>El impuesto asignable correspondiente al impuesto sobre automóviles nuevos a que se refiere el último párrafo del artículo 3o. de la Ley de Coordinación Fiscal, para los años de 1997 y 1998, se determinará conforme a lo establecido en la Ley Federal del Impuesto sobre Automóviles Nuevos, sin considerar las reducciones a que se refieren los artículos quinto y sexto transitorios de la citada Ley.</w:t>
      </w:r>
    </w:p>
    <w:p>
      <w:pPr>
        <w:pStyle w:val="Heading2"/>
        <w:spacing w:before="221"/>
        <w:ind w:left="1156" w:right="1291"/>
      </w:pPr>
      <w:r>
        <w:rPr>
          <w:spacing w:val="-2"/>
        </w:rPr>
        <w:t>Transitorio</w:t>
      </w:r>
    </w:p>
    <w:p>
      <w:pPr>
        <w:pStyle w:val="BodyText"/>
        <w:spacing w:before="232"/>
        <w:ind w:left="289"/>
      </w:pPr>
      <w:r>
        <w:rPr>
          <w:rFonts w:ascii="Arial" w:hAnsi="Arial"/>
          <w:b/>
        </w:rPr>
        <w:t>UNICO.-</w:t>
      </w:r>
      <w:r>
        <w:rPr>
          <w:rFonts w:ascii="Arial" w:hAnsi="Arial"/>
          <w:b/>
          <w:spacing w:val="-5"/>
        </w:rPr>
        <w:t> </w:t>
      </w:r>
      <w:r>
        <w:rPr/>
        <w:t>La</w:t>
      </w:r>
      <w:r>
        <w:rPr>
          <w:spacing w:val="-4"/>
        </w:rPr>
        <w:t> </w:t>
      </w:r>
      <w:r>
        <w:rPr/>
        <w:t>presente</w:t>
      </w:r>
      <w:r>
        <w:rPr>
          <w:spacing w:val="-5"/>
        </w:rPr>
        <w:t> </w:t>
      </w:r>
      <w:r>
        <w:rPr/>
        <w:t>Ley</w:t>
      </w:r>
      <w:r>
        <w:rPr>
          <w:spacing w:val="-6"/>
        </w:rPr>
        <w:t> </w:t>
      </w:r>
      <w:r>
        <w:rPr/>
        <w:t>entrará</w:t>
      </w:r>
      <w:r>
        <w:rPr>
          <w:spacing w:val="-5"/>
        </w:rPr>
        <w:t> </w:t>
      </w:r>
      <w:r>
        <w:rPr/>
        <w:t>en</w:t>
      </w:r>
      <w:r>
        <w:rPr>
          <w:spacing w:val="-5"/>
        </w:rPr>
        <w:t> </w:t>
      </w:r>
      <w:r>
        <w:rPr/>
        <w:t>vigor</w:t>
      </w:r>
      <w:r>
        <w:rPr>
          <w:spacing w:val="-5"/>
        </w:rPr>
        <w:t> </w:t>
      </w:r>
      <w:r>
        <w:rPr/>
        <w:t>a</w:t>
      </w:r>
      <w:r>
        <w:rPr>
          <w:spacing w:val="-5"/>
        </w:rPr>
        <w:t> </w:t>
      </w:r>
      <w:r>
        <w:rPr/>
        <w:t>partir</w:t>
      </w:r>
      <w:r>
        <w:rPr>
          <w:spacing w:val="-4"/>
        </w:rPr>
        <w:t> </w:t>
      </w:r>
      <w:r>
        <w:rPr/>
        <w:t>del</w:t>
      </w:r>
      <w:r>
        <w:rPr>
          <w:spacing w:val="-5"/>
        </w:rPr>
        <w:t> </w:t>
      </w:r>
      <w:r>
        <w:rPr/>
        <w:t>1o.</w:t>
      </w:r>
      <w:r>
        <w:rPr>
          <w:spacing w:val="-5"/>
        </w:rPr>
        <w:t> </w:t>
      </w:r>
      <w:r>
        <w:rPr/>
        <w:t>de</w:t>
      </w:r>
      <w:r>
        <w:rPr>
          <w:spacing w:val="-5"/>
        </w:rPr>
        <w:t> </w:t>
      </w:r>
      <w:r>
        <w:rPr/>
        <w:t>enero</w:t>
      </w:r>
      <w:r>
        <w:rPr>
          <w:spacing w:val="-3"/>
        </w:rPr>
        <w:t> </w:t>
      </w:r>
      <w:r>
        <w:rPr/>
        <w:t>de</w:t>
      </w:r>
      <w:r>
        <w:rPr>
          <w:spacing w:val="-6"/>
        </w:rPr>
        <w:t> </w:t>
      </w:r>
      <w:r>
        <w:rPr>
          <w:spacing w:val="-2"/>
        </w:rPr>
        <w:t>1997.</w:t>
      </w:r>
    </w:p>
    <w:p>
      <w:pPr>
        <w:spacing w:line="242" w:lineRule="auto" w:before="228"/>
        <w:ind w:left="1" w:right="139" w:firstLine="288"/>
        <w:jc w:val="both"/>
        <w:rPr>
          <w:sz w:val="20"/>
        </w:rPr>
      </w:pPr>
      <w:r>
        <w:rPr>
          <w:sz w:val="20"/>
        </w:rPr>
        <w:t>México, D.F., 5 de diciembre de 1996.- Dip. </w:t>
      </w:r>
      <w:r>
        <w:rPr>
          <w:rFonts w:ascii="Arial" w:hAnsi="Arial"/>
          <w:b/>
          <w:sz w:val="20"/>
        </w:rPr>
        <w:t>Sara Esther Muza Simón, </w:t>
      </w:r>
      <w:r>
        <w:rPr>
          <w:sz w:val="20"/>
        </w:rPr>
        <w:t>Presidente.- Sen. </w:t>
      </w:r>
      <w:r>
        <w:rPr>
          <w:rFonts w:ascii="Arial" w:hAnsi="Arial"/>
          <w:b/>
          <w:sz w:val="20"/>
        </w:rPr>
        <w:t>Laura</w:t>
      </w:r>
      <w:r>
        <w:rPr>
          <w:rFonts w:ascii="Arial" w:hAnsi="Arial"/>
          <w:b/>
          <w:spacing w:val="40"/>
          <w:sz w:val="20"/>
        </w:rPr>
        <w:t> </w:t>
      </w:r>
      <w:r>
        <w:rPr>
          <w:rFonts w:ascii="Arial" w:hAnsi="Arial"/>
          <w:b/>
          <w:sz w:val="20"/>
        </w:rPr>
        <w:t>Pavón Jaramillo, </w:t>
      </w:r>
      <w:r>
        <w:rPr>
          <w:sz w:val="20"/>
        </w:rPr>
        <w:t>Presidenta.- Dip. </w:t>
      </w:r>
      <w:r>
        <w:rPr>
          <w:rFonts w:ascii="Arial" w:hAnsi="Arial"/>
          <w:b/>
          <w:sz w:val="20"/>
        </w:rPr>
        <w:t>José</w:t>
      </w:r>
      <w:r>
        <w:rPr>
          <w:rFonts w:ascii="Arial" w:hAnsi="Arial"/>
          <w:b/>
          <w:spacing w:val="-1"/>
          <w:sz w:val="20"/>
        </w:rPr>
        <w:t> </w:t>
      </w:r>
      <w:r>
        <w:rPr>
          <w:rFonts w:ascii="Arial" w:hAnsi="Arial"/>
          <w:b/>
          <w:sz w:val="20"/>
        </w:rPr>
        <w:t>Luis Martínez Alvarez, </w:t>
      </w:r>
      <w:r>
        <w:rPr>
          <w:sz w:val="20"/>
        </w:rPr>
        <w:t>Secretario.- Sen. </w:t>
      </w:r>
      <w:r>
        <w:rPr>
          <w:rFonts w:ascii="Arial" w:hAnsi="Arial"/>
          <w:b/>
          <w:sz w:val="20"/>
        </w:rPr>
        <w:t>Angel Ventura</w:t>
      </w:r>
      <w:r>
        <w:rPr>
          <w:rFonts w:ascii="Arial" w:hAnsi="Arial"/>
          <w:b/>
          <w:spacing w:val="-1"/>
          <w:sz w:val="20"/>
        </w:rPr>
        <w:t> </w:t>
      </w:r>
      <w:r>
        <w:rPr>
          <w:rFonts w:ascii="Arial" w:hAnsi="Arial"/>
          <w:b/>
          <w:sz w:val="20"/>
        </w:rPr>
        <w:t>Valle</w:t>
      </w:r>
      <w:r>
        <w:rPr>
          <w:sz w:val="20"/>
        </w:rPr>
        <w:t>, Secretario.- Rúbricas".</w:t>
      </w:r>
    </w:p>
    <w:p>
      <w:pPr>
        <w:pStyle w:val="BodyText"/>
        <w:spacing w:before="227"/>
        <w:ind w:left="1" w:right="14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right="140"/>
        <w:jc w:val="both"/>
      </w:pPr>
      <w:r>
        <w:rPr/>
        <w:t>residencia del Poder Ejecutivo Federal, en la Ciudad de México, Distrito Federal, a los dieciocho días del mes de diciembre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jc w:val="left"/>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adiciona</w:t>
      </w:r>
      <w:r>
        <w:rPr>
          <w:spacing w:val="-3"/>
        </w:rPr>
        <w:t> </w:t>
      </w:r>
      <w:r>
        <w:rPr/>
        <w:t>y</w:t>
      </w:r>
      <w:r>
        <w:rPr>
          <w:spacing w:val="-7"/>
        </w:rPr>
        <w:t> </w:t>
      </w:r>
      <w:r>
        <w:rPr/>
        <w:t>reforma</w:t>
      </w:r>
      <w:r>
        <w:rPr>
          <w:spacing w:val="-4"/>
        </w:rPr>
        <w:t> </w:t>
      </w:r>
      <w:r>
        <w:rPr/>
        <w:t>la</w:t>
      </w:r>
      <w:r>
        <w:rPr>
          <w:spacing w:val="-7"/>
        </w:rPr>
        <w:t> </w:t>
      </w:r>
      <w:r>
        <w:rPr/>
        <w:t>Ley</w:t>
      </w:r>
      <w:r>
        <w:rPr>
          <w:spacing w:val="-7"/>
        </w:rPr>
        <w:t> </w:t>
      </w:r>
      <w:r>
        <w:rPr/>
        <w:t>de</w:t>
      </w:r>
      <w:r>
        <w:rPr>
          <w:spacing w:val="-3"/>
        </w:rPr>
        <w:t> </w:t>
      </w:r>
      <w:r>
        <w:rPr/>
        <w:t>Coordinación</w:t>
      </w:r>
      <w:r>
        <w:rPr>
          <w:spacing w:val="-4"/>
        </w:rPr>
        <w:t> </w:t>
      </w:r>
      <w:r>
        <w:rPr>
          <w:spacing w:val="-2"/>
        </w:rPr>
        <w:t>Fiscal.</w:t>
      </w:r>
    </w:p>
    <w:p>
      <w:pPr>
        <w:spacing w:before="233"/>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1997</w:t>
      </w:r>
    </w:p>
    <w:p>
      <w:pPr>
        <w:pStyle w:val="BodyText"/>
        <w:spacing w:before="45"/>
        <w:rPr>
          <w:sz w:val="16"/>
        </w:rPr>
      </w:pPr>
    </w:p>
    <w:p>
      <w:pPr>
        <w:pStyle w:val="BodyText"/>
        <w:spacing w:before="1"/>
        <w:ind w:left="1" w:firstLine="288"/>
      </w:pPr>
      <w:r>
        <w:rPr>
          <w:rFonts w:ascii="Arial" w:hAnsi="Arial"/>
          <w:b/>
        </w:rPr>
        <w:t>Artículo Primero.- </w:t>
      </w:r>
      <w:r>
        <w:rPr/>
        <w:t>Se adiciona un Capítulo V a la Ley de Coordinación Fiscal, denominado “De los</w:t>
      </w:r>
      <w:r>
        <w:rPr>
          <w:spacing w:val="80"/>
        </w:rPr>
        <w:t> </w:t>
      </w:r>
      <w:r>
        <w:rPr/>
        <w:t>Fondos de Aportaciones Federales”, que comprende de los artículos 25 al 42, para quedar como sigue:</w:t>
      </w:r>
    </w:p>
    <w:p>
      <w:pPr>
        <w:pStyle w:val="BodyText"/>
        <w:spacing w:before="1"/>
      </w:pPr>
    </w:p>
    <w:p>
      <w:pPr>
        <w:spacing w:before="0"/>
        <w:ind w:left="289" w:right="0" w:firstLine="0"/>
        <w:jc w:val="left"/>
        <w:rPr>
          <w:sz w:val="20"/>
        </w:rPr>
      </w:pPr>
      <w:r>
        <w:rPr>
          <w:spacing w:val="-2"/>
          <w:sz w:val="20"/>
        </w:rPr>
        <w:t>..........</w:t>
      </w:r>
    </w:p>
    <w:p>
      <w:pPr>
        <w:pStyle w:val="BodyText"/>
        <w:spacing w:line="242" w:lineRule="auto" w:before="228"/>
        <w:ind w:left="1" w:right="153" w:firstLine="288"/>
      </w:pPr>
      <w:r>
        <w:rPr>
          <w:rFonts w:ascii="Arial" w:hAnsi="Arial"/>
          <w:b/>
        </w:rPr>
        <w:t>Artículo Segundo.- </w:t>
      </w:r>
      <w:r>
        <w:rPr/>
        <w:t>Se REFORMA el artículo 2o., cuarto párrafo; y se ADICIONA el artículo 3o.- B,</w:t>
      </w:r>
      <w:r>
        <w:rPr>
          <w:spacing w:val="80"/>
        </w:rPr>
        <w:t> </w:t>
      </w:r>
      <w:r>
        <w:rPr/>
        <w:t>para quedar como sigue:</w:t>
      </w:r>
    </w:p>
    <w:p>
      <w:pPr>
        <w:spacing w:before="228"/>
        <w:ind w:left="289" w:right="0" w:firstLine="0"/>
        <w:jc w:val="left"/>
        <w:rPr>
          <w:sz w:val="20"/>
        </w:rPr>
      </w:pPr>
      <w:r>
        <w:rPr>
          <w:spacing w:val="-2"/>
          <w:sz w:val="20"/>
        </w:rPr>
        <w:t>..........</w:t>
      </w:r>
    </w:p>
    <w:p>
      <w:pPr>
        <w:pStyle w:val="Heading1"/>
      </w:pPr>
      <w:r>
        <w:rPr>
          <w:spacing w:val="-2"/>
        </w:rPr>
        <w:t>TRANSITORIOS</w:t>
      </w:r>
    </w:p>
    <w:p>
      <w:pPr>
        <w:pStyle w:val="BodyText"/>
        <w:spacing w:before="1"/>
        <w:rPr>
          <w:rFonts w:ascii="Arial"/>
          <w:b/>
        </w:rPr>
      </w:pPr>
    </w:p>
    <w:p>
      <w:pPr>
        <w:pStyle w:val="BodyText"/>
        <w:ind w:left="289"/>
      </w:pPr>
      <w:r>
        <w:rPr>
          <w:rFonts w:ascii="Arial" w:hAnsi="Arial"/>
          <w:b/>
        </w:rPr>
        <w:t>Primero.-</w:t>
      </w:r>
      <w:r>
        <w:rPr>
          <w:rFonts w:ascii="Arial" w:hAnsi="Arial"/>
          <w:b/>
          <w:spacing w:val="-4"/>
        </w:rPr>
        <w:t> </w:t>
      </w:r>
      <w:r>
        <w:rPr/>
        <w:t>El</w:t>
      </w:r>
      <w:r>
        <w:rPr>
          <w:spacing w:val="-4"/>
        </w:rPr>
        <w:t> </w:t>
      </w:r>
      <w:r>
        <w:rPr/>
        <w:t>presente</w:t>
      </w:r>
      <w:r>
        <w:rPr>
          <w:spacing w:val="-6"/>
        </w:rPr>
        <w:t> </w:t>
      </w:r>
      <w:r>
        <w:rPr/>
        <w:t>Decreto</w:t>
      </w:r>
      <w:r>
        <w:rPr>
          <w:spacing w:val="-7"/>
        </w:rPr>
        <w:t> </w:t>
      </w:r>
      <w:r>
        <w:rPr/>
        <w:t>entrará</w:t>
      </w:r>
      <w:r>
        <w:rPr>
          <w:spacing w:val="-4"/>
        </w:rPr>
        <w:t> </w:t>
      </w:r>
      <w:r>
        <w:rPr/>
        <w:t>en</w:t>
      </w:r>
      <w:r>
        <w:rPr>
          <w:spacing w:val="-5"/>
        </w:rPr>
        <w:t> </w:t>
      </w:r>
      <w:r>
        <w:rPr/>
        <w:t>vigor</w:t>
      </w:r>
      <w:r>
        <w:rPr>
          <w:spacing w:val="-5"/>
        </w:rPr>
        <w:t> </w:t>
      </w:r>
      <w:r>
        <w:rPr/>
        <w:t>el</w:t>
      </w:r>
      <w:r>
        <w:rPr>
          <w:spacing w:val="-6"/>
        </w:rPr>
        <w:t> </w:t>
      </w:r>
      <w:r>
        <w:rPr/>
        <w:t>1o.</w:t>
      </w:r>
      <w:r>
        <w:rPr>
          <w:spacing w:val="-6"/>
        </w:rPr>
        <w:t> </w:t>
      </w:r>
      <w:r>
        <w:rPr/>
        <w:t>de</w:t>
      </w:r>
      <w:r>
        <w:rPr>
          <w:spacing w:val="-6"/>
        </w:rPr>
        <w:t> </w:t>
      </w:r>
      <w:r>
        <w:rPr/>
        <w:t>enero</w:t>
      </w:r>
      <w:r>
        <w:rPr>
          <w:spacing w:val="-6"/>
        </w:rPr>
        <w:t> </w:t>
      </w:r>
      <w:r>
        <w:rPr/>
        <w:t>de</w:t>
      </w:r>
      <w:r>
        <w:rPr>
          <w:spacing w:val="-6"/>
        </w:rPr>
        <w:t> </w:t>
      </w:r>
      <w:r>
        <w:rPr>
          <w:spacing w:val="-2"/>
        </w:rPr>
        <w:t>1998.</w:t>
      </w:r>
    </w:p>
    <w:p>
      <w:pPr>
        <w:pStyle w:val="BodyText"/>
        <w:spacing w:before="1"/>
      </w:pPr>
    </w:p>
    <w:p>
      <w:pPr>
        <w:pStyle w:val="BodyText"/>
        <w:spacing w:line="242" w:lineRule="auto"/>
        <w:ind w:left="1" w:right="149" w:firstLine="288"/>
        <w:jc w:val="both"/>
      </w:pPr>
      <w:r>
        <w:rPr>
          <w:rFonts w:ascii="Arial"/>
          <w:b/>
        </w:rPr>
        <w:t>Segundo.- </w:t>
      </w:r>
      <w:r>
        <w:rPr/>
        <w:t>Se derogan todas las disposiciones legales, reglamentarias y administrativas que se opongan al presente Decreto.</w:t>
      </w:r>
    </w:p>
    <w:p>
      <w:pPr>
        <w:pStyle w:val="BodyText"/>
        <w:spacing w:before="225"/>
        <w:ind w:left="289"/>
      </w:pPr>
      <w:r>
        <w:rPr>
          <w:rFonts w:ascii="Arial" w:hAnsi="Arial"/>
          <w:b/>
        </w:rPr>
        <w:t>Tercero.-</w:t>
      </w:r>
      <w:r>
        <w:rPr>
          <w:rFonts w:ascii="Arial" w:hAnsi="Arial"/>
          <w:b/>
          <w:spacing w:val="-5"/>
        </w:rPr>
        <w:t> </w:t>
      </w:r>
      <w:r>
        <w:rPr/>
        <w:t>Los</w:t>
      </w:r>
      <w:r>
        <w:rPr>
          <w:spacing w:val="-3"/>
        </w:rPr>
        <w:t> </w:t>
      </w:r>
      <w:r>
        <w:rPr/>
        <w:t>Acuerdos</w:t>
      </w:r>
      <w:r>
        <w:rPr>
          <w:spacing w:val="-5"/>
        </w:rPr>
        <w:t> </w:t>
      </w:r>
      <w:r>
        <w:rPr/>
        <w:t>a</w:t>
      </w:r>
      <w:r>
        <w:rPr>
          <w:spacing w:val="-4"/>
        </w:rPr>
        <w:t> </w:t>
      </w:r>
      <w:r>
        <w:rPr/>
        <w:t>que</w:t>
      </w:r>
      <w:r>
        <w:rPr>
          <w:spacing w:val="-6"/>
        </w:rPr>
        <w:t> </w:t>
      </w:r>
      <w:r>
        <w:rPr/>
        <w:t>se</w:t>
      </w:r>
      <w:r>
        <w:rPr>
          <w:spacing w:val="-6"/>
        </w:rPr>
        <w:t> </w:t>
      </w:r>
      <w:r>
        <w:rPr/>
        <w:t>refiere</w:t>
      </w:r>
      <w:r>
        <w:rPr>
          <w:spacing w:val="-5"/>
        </w:rPr>
        <w:t> </w:t>
      </w:r>
      <w:r>
        <w:rPr/>
        <w:t>la</w:t>
      </w:r>
      <w:r>
        <w:rPr>
          <w:spacing w:val="-6"/>
        </w:rPr>
        <w:t> </w:t>
      </w:r>
      <w:r>
        <w:rPr/>
        <w:t>fracción</w:t>
      </w:r>
      <w:r>
        <w:rPr>
          <w:spacing w:val="-7"/>
        </w:rPr>
        <w:t> </w:t>
      </w:r>
      <w:r>
        <w:rPr/>
        <w:t>I</w:t>
      </w:r>
      <w:r>
        <w:rPr>
          <w:spacing w:val="-4"/>
        </w:rPr>
        <w:t> </w:t>
      </w:r>
      <w:r>
        <w:rPr/>
        <w:t>del</w:t>
      </w:r>
      <w:r>
        <w:rPr>
          <w:spacing w:val="-5"/>
        </w:rPr>
        <w:t> </w:t>
      </w:r>
      <w:r>
        <w:rPr/>
        <w:t>artículo</w:t>
      </w:r>
      <w:r>
        <w:rPr>
          <w:spacing w:val="-5"/>
        </w:rPr>
        <w:t> </w:t>
      </w:r>
      <w:r>
        <w:rPr/>
        <w:t>27</w:t>
      </w:r>
      <w:r>
        <w:rPr>
          <w:spacing w:val="-6"/>
        </w:rPr>
        <w:t> </w:t>
      </w:r>
      <w:r>
        <w:rPr/>
        <w:t>de</w:t>
      </w:r>
      <w:r>
        <w:rPr>
          <w:spacing w:val="-4"/>
        </w:rPr>
        <w:t> </w:t>
      </w:r>
      <w:r>
        <w:rPr/>
        <w:t>este</w:t>
      </w:r>
      <w:r>
        <w:rPr>
          <w:spacing w:val="-7"/>
        </w:rPr>
        <w:t> </w:t>
      </w:r>
      <w:r>
        <w:rPr/>
        <w:t>Decreto</w:t>
      </w:r>
      <w:r>
        <w:rPr>
          <w:spacing w:val="-7"/>
        </w:rPr>
        <w:t> </w:t>
      </w:r>
      <w:r>
        <w:rPr>
          <w:spacing w:val="-2"/>
        </w:rPr>
        <w:t>serán:</w:t>
      </w:r>
    </w:p>
    <w:p>
      <w:pPr>
        <w:pStyle w:val="BodyText"/>
      </w:pPr>
    </w:p>
    <w:p>
      <w:pPr>
        <w:pStyle w:val="ListParagraph"/>
        <w:numPr>
          <w:ilvl w:val="1"/>
          <w:numId w:val="18"/>
        </w:numPr>
        <w:tabs>
          <w:tab w:pos="1151" w:val="left" w:leader="none"/>
          <w:tab w:pos="1153" w:val="left" w:leader="none"/>
        </w:tabs>
        <w:spacing w:line="240" w:lineRule="auto" w:before="0" w:after="0"/>
        <w:ind w:left="1153" w:right="142" w:hanging="432"/>
        <w:jc w:val="both"/>
        <w:rPr>
          <w:sz w:val="20"/>
        </w:rPr>
      </w:pPr>
      <w:r>
        <w:rPr>
          <w:sz w:val="20"/>
        </w:rPr>
        <w:t>Para las entidades federativas, el Acuerdo Nacional para la Modernización de la Educación Básica del 18 de mayo de 1992 publicado en el</w:t>
      </w:r>
      <w:r>
        <w:rPr>
          <w:spacing w:val="23"/>
          <w:sz w:val="20"/>
        </w:rPr>
        <w:t> </w:t>
      </w:r>
      <w:r>
        <w:rPr>
          <w:rFonts w:ascii="Arial" w:hAnsi="Arial"/>
          <w:b/>
          <w:sz w:val="20"/>
        </w:rPr>
        <w:t>Diario Oficial de la Federación </w:t>
      </w:r>
      <w:r>
        <w:rPr>
          <w:sz w:val="20"/>
        </w:rPr>
        <w:t>el día 19</w:t>
      </w:r>
      <w:r>
        <w:rPr>
          <w:spacing w:val="40"/>
          <w:sz w:val="20"/>
        </w:rPr>
        <w:t> </w:t>
      </w:r>
      <w:r>
        <w:rPr>
          <w:sz w:val="20"/>
        </w:rPr>
        <w:t>del mismo mes y</w:t>
      </w:r>
      <w:r>
        <w:rPr>
          <w:spacing w:val="-1"/>
          <w:sz w:val="20"/>
        </w:rPr>
        <w:t> </w:t>
      </w:r>
      <w:r>
        <w:rPr>
          <w:sz w:val="20"/>
        </w:rPr>
        <w:t>año y los convenios que de conformidad con el mismo fueron formalizados con cada uno de los Estados de la Federación, incluyendo las actualizaciones autorizadas por las Secretarías de Hacienda y Crédito Público y de Educación Pública a partir de ese</w:t>
      </w:r>
      <w:r>
        <w:rPr>
          <w:spacing w:val="40"/>
          <w:sz w:val="20"/>
        </w:rPr>
        <w:t> </w:t>
      </w:r>
      <w:r>
        <w:rPr>
          <w:sz w:val="20"/>
        </w:rPr>
        <w:t>año y hasta 1997, así como las erogaciones que correspondan por conceptos de impuestos federales y las aportaciones de seguridad social; y</w:t>
      </w:r>
    </w:p>
    <w:p>
      <w:pPr>
        <w:pStyle w:val="ListParagraph"/>
        <w:numPr>
          <w:ilvl w:val="1"/>
          <w:numId w:val="18"/>
        </w:numPr>
        <w:tabs>
          <w:tab w:pos="1153" w:val="left" w:leader="none"/>
        </w:tabs>
        <w:spacing w:line="242" w:lineRule="auto" w:before="229" w:after="0"/>
        <w:ind w:left="1153" w:right="142" w:hanging="432"/>
        <w:jc w:val="both"/>
        <w:rPr>
          <w:sz w:val="20"/>
        </w:rPr>
      </w:pPr>
      <w:r>
        <w:rPr>
          <w:sz w:val="20"/>
        </w:rPr>
        <w:t>En el caso del Distrito Federal, el Acuerdo que en su oportunidad se suscriba con motivo de la transferencia de los servicios de educación básica.</w:t>
      </w:r>
    </w:p>
    <w:p>
      <w:pPr>
        <w:pStyle w:val="BodyText"/>
        <w:spacing w:before="227"/>
        <w:ind w:left="1" w:right="143" w:firstLine="288"/>
        <w:jc w:val="both"/>
      </w:pPr>
      <w:r>
        <w:rPr>
          <w:rFonts w:ascii="Arial" w:hAnsi="Arial"/>
          <w:b/>
        </w:rPr>
        <w:t>Cuarto.- </w:t>
      </w:r>
      <w:r>
        <w:rPr/>
        <w:t>En tanto se concluye el proceso de transferencia de los servicios de educación básica de la Federación</w:t>
      </w:r>
      <w:r>
        <w:rPr>
          <w:spacing w:val="-2"/>
        </w:rPr>
        <w:t> </w:t>
      </w:r>
      <w:r>
        <w:rPr/>
        <w:t>al</w:t>
      </w:r>
      <w:r>
        <w:rPr>
          <w:spacing w:val="-2"/>
        </w:rPr>
        <w:t> </w:t>
      </w:r>
      <w:r>
        <w:rPr/>
        <w:t>Gobierno</w:t>
      </w:r>
      <w:r>
        <w:rPr>
          <w:spacing w:val="-1"/>
        </w:rPr>
        <w:t> </w:t>
      </w:r>
      <w:r>
        <w:rPr/>
        <w:t>del Distrito</w:t>
      </w:r>
      <w:r>
        <w:rPr>
          <w:spacing w:val="-1"/>
        </w:rPr>
        <w:t> </w:t>
      </w:r>
      <w:r>
        <w:rPr/>
        <w:t>Federal, las aportaciones que</w:t>
      </w:r>
      <w:r>
        <w:rPr>
          <w:spacing w:val="-2"/>
        </w:rPr>
        <w:t> </w:t>
      </w:r>
      <w:r>
        <w:rPr/>
        <w:t>al</w:t>
      </w:r>
      <w:r>
        <w:rPr>
          <w:spacing w:val="-2"/>
        </w:rPr>
        <w:t> </w:t>
      </w:r>
      <w:r>
        <w:rPr/>
        <w:t>efecto</w:t>
      </w:r>
      <w:r>
        <w:rPr>
          <w:spacing w:val="-1"/>
        </w:rPr>
        <w:t> </w:t>
      </w:r>
      <w:r>
        <w:rPr/>
        <w:t>realice aquélla</w:t>
      </w:r>
      <w:r>
        <w:rPr>
          <w:spacing w:val="-1"/>
        </w:rPr>
        <w:t> </w:t>
      </w:r>
      <w:r>
        <w:rPr/>
        <w:t>de</w:t>
      </w:r>
      <w:r>
        <w:rPr>
          <w:spacing w:val="-1"/>
        </w:rPr>
        <w:t> </w:t>
      </w:r>
      <w:r>
        <w:rPr/>
        <w:t>acuerdo</w:t>
      </w:r>
      <w:r>
        <w:rPr>
          <w:spacing w:val="-1"/>
        </w:rPr>
        <w:t> </w:t>
      </w:r>
      <w:r>
        <w:rPr/>
        <w:t>a lo dispuesto en el Presupuesto de Egresos de la Federación, no se tomarán en cuenta para la</w:t>
      </w:r>
      <w:r>
        <w:rPr>
          <w:spacing w:val="40"/>
        </w:rPr>
        <w:t> </w:t>
      </w:r>
      <w:r>
        <w:rPr/>
        <w:t>determinación del monto de</w:t>
      </w:r>
      <w:r>
        <w:rPr>
          <w:spacing w:val="-1"/>
        </w:rPr>
        <w:t> </w:t>
      </w:r>
      <w:r>
        <w:rPr/>
        <w:t>recursos que se afecte</w:t>
      </w:r>
      <w:r>
        <w:rPr>
          <w:spacing w:val="-1"/>
        </w:rPr>
        <w:t> </w:t>
      </w:r>
      <w:r>
        <w:rPr/>
        <w:t>al Fondo de Aportaciones para</w:t>
      </w:r>
      <w:r>
        <w:rPr>
          <w:spacing w:val="-1"/>
        </w:rPr>
        <w:t> </w:t>
      </w:r>
      <w:r>
        <w:rPr/>
        <w:t>la Educación Básica y </w:t>
      </w:r>
      <w:r>
        <w:rPr>
          <w:spacing w:val="-2"/>
        </w:rPr>
        <w:t>Normal.</w:t>
      </w:r>
    </w:p>
    <w:p>
      <w:pPr>
        <w:pStyle w:val="BodyText"/>
        <w:spacing w:before="3"/>
      </w:pPr>
    </w:p>
    <w:p>
      <w:pPr>
        <w:pStyle w:val="BodyText"/>
        <w:ind w:left="1" w:right="145" w:firstLine="288"/>
        <w:jc w:val="both"/>
      </w:pPr>
      <w:r>
        <w:rPr/>
        <w:t>Una vez concluido el proceso correspondiente, el Distrito Federal recibirá recursos del Fondo de Aportaciones para la Educación Básica y Normal y las aportaciones respectivas se computarán para la integración de dicho Fondo en el ejercicio presupuestario.</w:t>
      </w:r>
    </w:p>
    <w:p>
      <w:pPr>
        <w:pStyle w:val="BodyText"/>
        <w:spacing w:before="227"/>
        <w:ind w:left="1" w:right="142" w:firstLine="288"/>
        <w:jc w:val="both"/>
      </w:pPr>
      <w:r>
        <w:rPr>
          <w:rFonts w:ascii="Arial" w:hAnsi="Arial"/>
          <w:b/>
        </w:rPr>
        <w:t>Quinto.- </w:t>
      </w:r>
      <w:r>
        <w:rPr/>
        <w:t>Para el ejercicio fiscal de 1998, la distribución de los recursos entre los Estados, del Fondo para</w:t>
      </w:r>
      <w:r>
        <w:rPr>
          <w:spacing w:val="-1"/>
        </w:rPr>
        <w:t> </w:t>
      </w:r>
      <w:r>
        <w:rPr/>
        <w:t>la</w:t>
      </w:r>
      <w:r>
        <w:rPr>
          <w:spacing w:val="-1"/>
        </w:rPr>
        <w:t> </w:t>
      </w:r>
      <w:r>
        <w:rPr/>
        <w:t>Infraestructura</w:t>
      </w:r>
      <w:r>
        <w:rPr>
          <w:spacing w:val="-1"/>
        </w:rPr>
        <w:t> </w:t>
      </w:r>
      <w:r>
        <w:rPr/>
        <w:t>Social</w:t>
      </w:r>
      <w:r>
        <w:rPr>
          <w:spacing w:val="-2"/>
        </w:rPr>
        <w:t> </w:t>
      </w:r>
      <w:r>
        <w:rPr/>
        <w:t>Municipal</w:t>
      </w:r>
      <w:r>
        <w:rPr>
          <w:spacing w:val="-2"/>
        </w:rPr>
        <w:t> </w:t>
      </w:r>
      <w:r>
        <w:rPr/>
        <w:t>a</w:t>
      </w:r>
      <w:r>
        <w:rPr>
          <w:spacing w:val="-1"/>
        </w:rPr>
        <w:t> </w:t>
      </w:r>
      <w:r>
        <w:rPr/>
        <w:t>que</w:t>
      </w:r>
      <w:r>
        <w:rPr>
          <w:spacing w:val="-1"/>
        </w:rPr>
        <w:t> </w:t>
      </w:r>
      <w:r>
        <w:rPr/>
        <w:t>se</w:t>
      </w:r>
      <w:r>
        <w:rPr>
          <w:spacing w:val="-1"/>
        </w:rPr>
        <w:t> </w:t>
      </w:r>
      <w:r>
        <w:rPr/>
        <w:t>refiere</w:t>
      </w:r>
      <w:r>
        <w:rPr>
          <w:spacing w:val="-1"/>
        </w:rPr>
        <w:t> </w:t>
      </w:r>
      <w:r>
        <w:rPr/>
        <w:t>el</w:t>
      </w:r>
      <w:r>
        <w:rPr>
          <w:spacing w:val="-2"/>
        </w:rPr>
        <w:t> </w:t>
      </w:r>
      <w:r>
        <w:rPr/>
        <w:t>primer párrafo</w:t>
      </w:r>
      <w:r>
        <w:rPr>
          <w:spacing w:val="-1"/>
        </w:rPr>
        <w:t> </w:t>
      </w:r>
      <w:r>
        <w:rPr/>
        <w:t>del</w:t>
      </w:r>
      <w:r>
        <w:rPr>
          <w:spacing w:val="-2"/>
        </w:rPr>
        <w:t> </w:t>
      </w:r>
      <w:r>
        <w:rPr/>
        <w:t>artículo</w:t>
      </w:r>
      <w:r>
        <w:rPr>
          <w:spacing w:val="-1"/>
        </w:rPr>
        <w:t> </w:t>
      </w:r>
      <w:r>
        <w:rPr/>
        <w:t>32</w:t>
      </w:r>
      <w:r>
        <w:rPr>
          <w:spacing w:val="-1"/>
        </w:rPr>
        <w:t> </w:t>
      </w:r>
      <w:r>
        <w:rPr/>
        <w:t>de</w:t>
      </w:r>
      <w:r>
        <w:rPr>
          <w:spacing w:val="-2"/>
        </w:rPr>
        <w:t> </w:t>
      </w:r>
      <w:r>
        <w:rPr/>
        <w:t>la</w:t>
      </w:r>
      <w:r>
        <w:rPr>
          <w:spacing w:val="-1"/>
        </w:rPr>
        <w:t> </w:t>
      </w:r>
      <w:r>
        <w:rPr/>
        <w:t>Ley,</w:t>
      </w:r>
      <w:r>
        <w:rPr>
          <w:spacing w:val="-1"/>
        </w:rPr>
        <w:t> </w:t>
      </w:r>
      <w:r>
        <w:rPr/>
        <w:t>se</w:t>
      </w:r>
      <w:r>
        <w:rPr>
          <w:spacing w:val="-1"/>
        </w:rPr>
        <w:t> </w:t>
      </w:r>
      <w:r>
        <w:rPr/>
        <w:t>hará de la siguiente manera: El 69% de los recursos se distribuirá de acuerdo a la fórmula a que se refiere el artículo 34 de esta Ley y el monto restante por partes iguales entre los Estados. Sin embargo, para la distribución hacia los Municipios por parte de los Estados, del monto total que resulte del procedimiento descrito, se aplicará estrictamente la fórmula a que se refiere el artículo 34 de esta Ley.</w:t>
      </w:r>
    </w:p>
    <w:p>
      <w:pPr>
        <w:pStyle w:val="BodyText"/>
      </w:pPr>
    </w:p>
    <w:p>
      <w:pPr>
        <w:pStyle w:val="BodyText"/>
        <w:spacing w:line="242" w:lineRule="auto"/>
        <w:ind w:left="1" w:right="139" w:firstLine="288"/>
        <w:jc w:val="both"/>
      </w:pPr>
      <w:r>
        <w:rPr>
          <w:rFonts w:ascii="Arial" w:hAnsi="Arial"/>
          <w:b/>
        </w:rPr>
        <w:t>Sexto.- </w:t>
      </w:r>
      <w:r>
        <w:rPr/>
        <w:t>El Programa de Apoyos a la Educación Básica que se encuentra operando en algunos Municipios,</w:t>
      </w:r>
      <w:r>
        <w:rPr>
          <w:spacing w:val="27"/>
        </w:rPr>
        <w:t> </w:t>
      </w:r>
      <w:r>
        <w:rPr/>
        <w:t>seguirá</w:t>
      </w:r>
      <w:r>
        <w:rPr>
          <w:spacing w:val="27"/>
        </w:rPr>
        <w:t> </w:t>
      </w:r>
      <w:r>
        <w:rPr/>
        <w:t>siendo</w:t>
      </w:r>
      <w:r>
        <w:rPr>
          <w:spacing w:val="29"/>
        </w:rPr>
        <w:t> </w:t>
      </w:r>
      <w:r>
        <w:rPr/>
        <w:t>financiado</w:t>
      </w:r>
      <w:r>
        <w:rPr>
          <w:spacing w:val="27"/>
        </w:rPr>
        <w:t> </w:t>
      </w:r>
      <w:r>
        <w:rPr/>
        <w:t>con</w:t>
      </w:r>
      <w:r>
        <w:rPr>
          <w:spacing w:val="27"/>
        </w:rPr>
        <w:t> </w:t>
      </w:r>
      <w:r>
        <w:rPr/>
        <w:t>recursos</w:t>
      </w:r>
      <w:r>
        <w:rPr>
          <w:spacing w:val="30"/>
        </w:rPr>
        <w:t> </w:t>
      </w:r>
      <w:r>
        <w:rPr/>
        <w:t>del</w:t>
      </w:r>
      <w:r>
        <w:rPr>
          <w:spacing w:val="27"/>
        </w:rPr>
        <w:t> </w:t>
      </w:r>
      <w:r>
        <w:rPr/>
        <w:t>Fondo</w:t>
      </w:r>
      <w:r>
        <w:rPr>
          <w:spacing w:val="30"/>
        </w:rPr>
        <w:t> </w:t>
      </w:r>
      <w:r>
        <w:rPr/>
        <w:t>para</w:t>
      </w:r>
      <w:r>
        <w:rPr>
          <w:spacing w:val="30"/>
        </w:rPr>
        <w:t> </w:t>
      </w:r>
      <w:r>
        <w:rPr/>
        <w:t>la</w:t>
      </w:r>
      <w:r>
        <w:rPr>
          <w:spacing w:val="27"/>
        </w:rPr>
        <w:t> </w:t>
      </w:r>
      <w:r>
        <w:rPr/>
        <w:t>Infraestructura</w:t>
      </w:r>
      <w:r>
        <w:rPr>
          <w:spacing w:val="28"/>
        </w:rPr>
        <w:t> </w:t>
      </w:r>
      <w:r>
        <w:rPr/>
        <w:t>Social</w:t>
      </w:r>
      <w:r>
        <w:rPr>
          <w:spacing w:val="29"/>
        </w:rPr>
        <w:t> </w:t>
      </w:r>
      <w:r>
        <w:rPr/>
        <w:t>Municipal,</w:t>
      </w:r>
    </w:p>
    <w:p>
      <w:pPr>
        <w:pStyle w:val="BodyText"/>
        <w:spacing w:after="0" w:line="242" w:lineRule="auto"/>
        <w:jc w:val="both"/>
        <w:sectPr>
          <w:pgSz w:w="12250" w:h="15850"/>
          <w:pgMar w:header="724" w:footer="712" w:top="1880" w:bottom="900" w:left="1417" w:right="1275"/>
        </w:sectPr>
      </w:pPr>
    </w:p>
    <w:p>
      <w:pPr>
        <w:pStyle w:val="BodyText"/>
        <w:spacing w:before="67"/>
      </w:pPr>
    </w:p>
    <w:p>
      <w:pPr>
        <w:pStyle w:val="BodyText"/>
        <w:ind w:left="1"/>
      </w:pPr>
      <w:r>
        <w:rPr/>
        <w:t>hasta que el Ejecutivo Federal ejerza en el Municipio respectivo, recursos de programas especiales que atiendan a la población en condiciones de pobreza extrema.</w:t>
      </w:r>
    </w:p>
    <w:p>
      <w:pPr>
        <w:pStyle w:val="BodyText"/>
        <w:spacing w:line="242" w:lineRule="auto" w:before="227"/>
        <w:ind w:left="1" w:right="141" w:firstLine="288"/>
        <w:jc w:val="both"/>
      </w:pPr>
      <w:r>
        <w:rPr>
          <w:rFonts w:ascii="Arial" w:hAnsi="Arial"/>
          <w:b/>
        </w:rPr>
        <w:t>Séptimo.- </w:t>
      </w:r>
      <w:r>
        <w:rPr/>
        <w:t>En tanto se concluye el proceso de transferencia de los servicios de salud de la Federación al Gobierno de Baja California, las aportaciones que al efecto realice aquélla, no se tomarán en cuenta para la determinación del monto de recursos que se afecte al Fondo de Aportaciones para los Servicios de Salud.</w:t>
      </w:r>
    </w:p>
    <w:p>
      <w:pPr>
        <w:pStyle w:val="BodyText"/>
        <w:spacing w:before="223"/>
        <w:ind w:left="1" w:right="147" w:firstLine="288"/>
        <w:jc w:val="both"/>
      </w:pPr>
      <w:r>
        <w:rPr/>
        <w:t>Una vez concluido el proceso correspondiente, el Gobierno de Baja California recibirá recursos del Fondo de Aportaciones para los Servicios de Salud y las aportaciones correspondientes se computarán para la integración de dicho Fondo en el ejercicio presupuestario.</w:t>
      </w:r>
    </w:p>
    <w:p>
      <w:pPr>
        <w:pStyle w:val="BodyText"/>
        <w:spacing w:before="230"/>
        <w:ind w:left="1" w:right="142" w:firstLine="288"/>
        <w:jc w:val="both"/>
      </w:pPr>
      <w:r>
        <w:rPr>
          <w:rFonts w:ascii="Arial" w:hAnsi="Arial"/>
          <w:b/>
        </w:rPr>
        <w:t>Octavo.- </w:t>
      </w:r>
      <w:r>
        <w:rPr/>
        <w:t>Para el ejercicio fiscal 1998, el porcentaje a que se refiere el artículo 32 de esta Ley, correspondiente al Fondo de Aportaciones para la Infraestructura Social, será del 2.318% de la recaudación federal participable. Del total de ésta, el 0.281% corresponderá al Fondo para la Infraestructura Social Estatal y el 2.037% al Fondo para la Infraestructura Social Municipal.</w:t>
      </w:r>
    </w:p>
    <w:p>
      <w:pPr>
        <w:pStyle w:val="BodyText"/>
        <w:spacing w:line="242" w:lineRule="auto" w:before="229"/>
        <w:ind w:left="1" w:right="146" w:firstLine="288"/>
        <w:jc w:val="both"/>
      </w:pPr>
      <w:r>
        <w:rPr>
          <w:rFonts w:ascii="Arial" w:hAnsi="Arial"/>
          <w:b/>
        </w:rPr>
        <w:t>Noveno.- </w:t>
      </w:r>
      <w:r>
        <w:rPr/>
        <w:t>Para el ejercicio fiscal 1998, el porcentaje a que se refiere el artículo 36 de esta Ley, correspondiente</w:t>
      </w:r>
      <w:r>
        <w:rPr>
          <w:spacing w:val="-1"/>
        </w:rPr>
        <w:t> </w:t>
      </w:r>
      <w:r>
        <w:rPr/>
        <w:t>al</w:t>
      </w:r>
      <w:r>
        <w:rPr>
          <w:spacing w:val="-2"/>
        </w:rPr>
        <w:t> </w:t>
      </w:r>
      <w:r>
        <w:rPr/>
        <w:t>Fondo</w:t>
      </w:r>
      <w:r>
        <w:rPr>
          <w:spacing w:val="-2"/>
        </w:rPr>
        <w:t> </w:t>
      </w:r>
      <w:r>
        <w:rPr/>
        <w:t>de</w:t>
      </w:r>
      <w:r>
        <w:rPr>
          <w:spacing w:val="-3"/>
        </w:rPr>
        <w:t> </w:t>
      </w:r>
      <w:r>
        <w:rPr/>
        <w:t>Aportaciones</w:t>
      </w:r>
      <w:r>
        <w:rPr>
          <w:spacing w:val="-2"/>
        </w:rPr>
        <w:t> </w:t>
      </w:r>
      <w:r>
        <w:rPr/>
        <w:t>para</w:t>
      </w:r>
      <w:r>
        <w:rPr>
          <w:spacing w:val="-1"/>
        </w:rPr>
        <w:t> </w:t>
      </w:r>
      <w:r>
        <w:rPr/>
        <w:t>el</w:t>
      </w:r>
      <w:r>
        <w:rPr>
          <w:spacing w:val="-2"/>
        </w:rPr>
        <w:t> </w:t>
      </w:r>
      <w:r>
        <w:rPr/>
        <w:t>Fortalecimiento</w:t>
      </w:r>
      <w:r>
        <w:rPr>
          <w:spacing w:val="-3"/>
        </w:rPr>
        <w:t> </w:t>
      </w:r>
      <w:r>
        <w:rPr/>
        <w:t>de</w:t>
      </w:r>
      <w:r>
        <w:rPr>
          <w:spacing w:val="-1"/>
        </w:rPr>
        <w:t> </w:t>
      </w:r>
      <w:r>
        <w:rPr/>
        <w:t>los Municipios y</w:t>
      </w:r>
      <w:r>
        <w:rPr>
          <w:spacing w:val="-4"/>
        </w:rPr>
        <w:t> </w:t>
      </w:r>
      <w:r>
        <w:rPr/>
        <w:t>del</w:t>
      </w:r>
      <w:r>
        <w:rPr>
          <w:spacing w:val="-2"/>
        </w:rPr>
        <w:t> </w:t>
      </w:r>
      <w:r>
        <w:rPr/>
        <w:t>Distrito</w:t>
      </w:r>
      <w:r>
        <w:rPr>
          <w:spacing w:val="-3"/>
        </w:rPr>
        <w:t> </w:t>
      </w:r>
      <w:r>
        <w:rPr/>
        <w:t>Federal, será del 1.5% de la Recaudación Federal Participable.</w:t>
      </w:r>
    </w:p>
    <w:p>
      <w:pPr>
        <w:spacing w:before="223"/>
        <w:ind w:left="1" w:right="141" w:firstLine="288"/>
        <w:jc w:val="both"/>
        <w:rPr>
          <w:sz w:val="20"/>
        </w:rPr>
      </w:pPr>
      <w:r>
        <w:rPr>
          <w:sz w:val="20"/>
        </w:rPr>
        <w:t>México, D.F., a 15 de diciembre de 1997.- Dip. </w:t>
      </w:r>
      <w:r>
        <w:rPr>
          <w:rFonts w:ascii="Arial" w:hAnsi="Arial"/>
          <w:b/>
          <w:sz w:val="20"/>
        </w:rPr>
        <w:t>Juan Cruz Martínez</w:t>
      </w:r>
      <w:r>
        <w:rPr>
          <w:sz w:val="20"/>
        </w:rPr>
        <w:t>, Presidente.- Sen. </w:t>
      </w:r>
      <w:r>
        <w:rPr>
          <w:rFonts w:ascii="Arial" w:hAnsi="Arial"/>
          <w:b/>
          <w:sz w:val="20"/>
        </w:rPr>
        <w:t>Heladio Ramírez López</w:t>
      </w:r>
      <w:r>
        <w:rPr>
          <w:sz w:val="20"/>
        </w:rPr>
        <w:t>, Presidente.- Dip. </w:t>
      </w:r>
      <w:r>
        <w:rPr>
          <w:rFonts w:ascii="Arial" w:hAnsi="Arial"/>
          <w:b/>
          <w:sz w:val="20"/>
        </w:rPr>
        <w:t>José Antonio Alvarez Hernández</w:t>
      </w:r>
      <w:r>
        <w:rPr>
          <w:sz w:val="20"/>
        </w:rPr>
        <w:t>, Secretario.- Sen. </w:t>
      </w:r>
      <w:r>
        <w:rPr>
          <w:rFonts w:ascii="Arial" w:hAnsi="Arial"/>
          <w:b/>
          <w:sz w:val="20"/>
        </w:rPr>
        <w:t>Samuel Aguilar Solís</w:t>
      </w:r>
      <w:r>
        <w:rPr>
          <w:sz w:val="20"/>
        </w:rPr>
        <w:t>, Secretario.- Rúbricas</w:t>
      </w:r>
      <w:r>
        <w:rPr>
          <w:rFonts w:ascii="Arial" w:hAnsi="Arial"/>
          <w:b/>
          <w:sz w:val="20"/>
        </w:rPr>
        <w:t>"</w:t>
      </w:r>
      <w:r>
        <w:rPr>
          <w:sz w:val="20"/>
        </w:rPr>
        <w:t>.</w:t>
      </w:r>
    </w:p>
    <w:p>
      <w:pPr>
        <w:pStyle w:val="BodyText"/>
        <w:spacing w:before="4"/>
      </w:pPr>
    </w:p>
    <w:p>
      <w:pPr>
        <w:pStyle w:val="BodyText"/>
        <w:ind w:left="1"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veintiséis días del mes de diciembre de mil novecientos noventa y siete.-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jc w:val="left"/>
      </w:pPr>
      <w:r>
        <w:rPr/>
        <w:t>DECRETO</w:t>
      </w:r>
      <w:r>
        <w:rPr>
          <w:spacing w:val="-4"/>
        </w:rPr>
        <w:t> </w:t>
      </w:r>
      <w:r>
        <w:rPr/>
        <w:t>por</w:t>
      </w:r>
      <w:r>
        <w:rPr>
          <w:spacing w:val="-2"/>
        </w:rPr>
        <w:t> </w:t>
      </w:r>
      <w:r>
        <w:rPr/>
        <w:t>el</w:t>
      </w:r>
      <w:r>
        <w:rPr>
          <w:spacing w:val="-1"/>
        </w:rPr>
        <w:t> </w:t>
      </w:r>
      <w:r>
        <w:rPr/>
        <w:t>que</w:t>
      </w:r>
      <w:r>
        <w:rPr>
          <w:spacing w:val="-6"/>
        </w:rPr>
        <w:t> </w:t>
      </w:r>
      <w:r>
        <w:rPr/>
        <w:t>se</w:t>
      </w:r>
      <w:r>
        <w:rPr>
          <w:spacing w:val="-3"/>
        </w:rPr>
        <w:t> </w:t>
      </w:r>
      <w:r>
        <w:rPr/>
        <w:t>reforma</w:t>
      </w:r>
      <w:r>
        <w:rPr>
          <w:spacing w:val="-5"/>
        </w:rPr>
        <w:t> </w:t>
      </w:r>
      <w:r>
        <w:rPr/>
        <w:t>la</w:t>
      </w:r>
      <w:r>
        <w:rPr>
          <w:spacing w:val="-5"/>
        </w:rPr>
        <w:t> </w:t>
      </w:r>
      <w:r>
        <w:rPr/>
        <w:t>Ley</w:t>
      </w:r>
      <w:r>
        <w:rPr>
          <w:spacing w:val="-7"/>
        </w:rPr>
        <w:t> </w:t>
      </w:r>
      <w:r>
        <w:rPr/>
        <w:t>de</w:t>
      </w:r>
      <w:r>
        <w:rPr>
          <w:spacing w:val="-3"/>
        </w:rPr>
        <w:t> </w:t>
      </w:r>
      <w:r>
        <w:rPr/>
        <w:t>Coordinación</w:t>
      </w:r>
      <w:r>
        <w:rPr>
          <w:spacing w:val="-5"/>
        </w:rPr>
        <w:t> </w:t>
      </w:r>
      <w:r>
        <w:rPr>
          <w:spacing w:val="-2"/>
        </w:rPr>
        <w:t>Fiscal.</w:t>
      </w:r>
    </w:p>
    <w:p>
      <w:pPr>
        <w:spacing w:before="233"/>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1998</w:t>
      </w:r>
    </w:p>
    <w:p>
      <w:pPr>
        <w:pStyle w:val="BodyText"/>
        <w:spacing w:before="45"/>
        <w:rPr>
          <w:sz w:val="16"/>
        </w:rPr>
      </w:pPr>
    </w:p>
    <w:p>
      <w:pPr>
        <w:pStyle w:val="BodyText"/>
        <w:spacing w:before="1"/>
        <w:ind w:left="1" w:right="140" w:firstLine="288"/>
        <w:jc w:val="both"/>
      </w:pPr>
      <w:r>
        <w:rPr>
          <w:rFonts w:ascii="Arial" w:hAnsi="Arial"/>
          <w:b/>
        </w:rPr>
        <w:t>ARTÍCULO ÚNICO.- </w:t>
      </w:r>
      <w:r>
        <w:rPr/>
        <w:t>Se </w:t>
      </w:r>
      <w:r>
        <w:rPr>
          <w:rFonts w:ascii="Arial" w:hAnsi="Arial"/>
          <w:b/>
        </w:rPr>
        <w:t>REFORMAN </w:t>
      </w:r>
      <w:r>
        <w:rPr/>
        <w:t>los artículos 25, primer párrafo y fracción IV, 32, 33, 35, último párrafo, 36, 37, 38 y 42; y se</w:t>
      </w:r>
      <w:r>
        <w:rPr>
          <w:spacing w:val="10"/>
        </w:rPr>
        <w:t> </w:t>
      </w:r>
      <w:r>
        <w:rPr>
          <w:rFonts w:ascii="Arial" w:hAnsi="Arial"/>
          <w:b/>
        </w:rPr>
        <w:t>ADICIONAN </w:t>
      </w:r>
      <w:r>
        <w:rPr/>
        <w:t>los artículos 25, con las fracciones VI y VII, 43, 44, 45 y 46 de la Ley de Coordinación Fiscal, para quedar como sigue:</w:t>
      </w:r>
    </w:p>
    <w:p>
      <w:pPr>
        <w:pStyle w:val="BodyText"/>
        <w:spacing w:before="1"/>
      </w:pPr>
    </w:p>
    <w:p>
      <w:pPr>
        <w:spacing w:before="0"/>
        <w:ind w:left="289" w:right="0" w:firstLine="0"/>
        <w:jc w:val="left"/>
        <w:rPr>
          <w:sz w:val="20"/>
        </w:rPr>
      </w:pPr>
      <w:r>
        <w:rPr>
          <w:spacing w:val="-2"/>
          <w:sz w:val="20"/>
        </w:rPr>
        <w:t>..........</w:t>
      </w:r>
    </w:p>
    <w:p>
      <w:pPr>
        <w:pStyle w:val="Heading1"/>
        <w:spacing w:before="227"/>
      </w:pPr>
      <w:r>
        <w:rPr>
          <w:spacing w:val="-2"/>
        </w:rPr>
        <w:t>TRANSITORIOS</w:t>
      </w:r>
    </w:p>
    <w:p>
      <w:pPr>
        <w:pStyle w:val="BodyText"/>
        <w:spacing w:before="2"/>
        <w:rPr>
          <w:rFonts w:ascii="Arial"/>
          <w:b/>
        </w:rPr>
      </w:pPr>
    </w:p>
    <w:p>
      <w:pPr>
        <w:pStyle w:val="BodyText"/>
        <w:ind w:left="289"/>
      </w:pPr>
      <w:r>
        <w:rPr>
          <w:rFonts w:ascii="Arial" w:hAnsi="Arial"/>
          <w:b/>
        </w:rPr>
        <w:t>PRIMERO.-</w:t>
      </w:r>
      <w:r>
        <w:rPr>
          <w:rFonts w:ascii="Arial" w:hAnsi="Arial"/>
          <w:b/>
          <w:spacing w:val="-6"/>
        </w:rPr>
        <w:t> </w:t>
      </w:r>
      <w:r>
        <w:rPr/>
        <w:t>El</w:t>
      </w:r>
      <w:r>
        <w:rPr>
          <w:spacing w:val="-5"/>
        </w:rPr>
        <w:t> </w:t>
      </w:r>
      <w:r>
        <w:rPr/>
        <w:t>presente</w:t>
      </w:r>
      <w:r>
        <w:rPr>
          <w:spacing w:val="-7"/>
        </w:rPr>
        <w:t> </w:t>
      </w:r>
      <w:r>
        <w:rPr/>
        <w:t>Decreto</w:t>
      </w:r>
      <w:r>
        <w:rPr>
          <w:spacing w:val="-7"/>
        </w:rPr>
        <w:t> </w:t>
      </w:r>
      <w:r>
        <w:rPr/>
        <w:t>entrará</w:t>
      </w:r>
      <w:r>
        <w:rPr>
          <w:spacing w:val="-3"/>
        </w:rPr>
        <w:t> </w:t>
      </w:r>
      <w:r>
        <w:rPr/>
        <w:t>en</w:t>
      </w:r>
      <w:r>
        <w:rPr>
          <w:spacing w:val="-6"/>
        </w:rPr>
        <w:t> </w:t>
      </w:r>
      <w:r>
        <w:rPr/>
        <w:t>vigor</w:t>
      </w:r>
      <w:r>
        <w:rPr>
          <w:spacing w:val="-3"/>
        </w:rPr>
        <w:t> </w:t>
      </w:r>
      <w:r>
        <w:rPr/>
        <w:t>el</w:t>
      </w:r>
      <w:r>
        <w:rPr>
          <w:spacing w:val="-6"/>
        </w:rPr>
        <w:t> </w:t>
      </w:r>
      <w:r>
        <w:rPr/>
        <w:t>1o.</w:t>
      </w:r>
      <w:r>
        <w:rPr>
          <w:spacing w:val="-4"/>
        </w:rPr>
        <w:t> </w:t>
      </w:r>
      <w:r>
        <w:rPr/>
        <w:t>de</w:t>
      </w:r>
      <w:r>
        <w:rPr>
          <w:spacing w:val="-8"/>
        </w:rPr>
        <w:t> </w:t>
      </w:r>
      <w:r>
        <w:rPr/>
        <w:t>enero</w:t>
      </w:r>
      <w:r>
        <w:rPr>
          <w:spacing w:val="-4"/>
        </w:rPr>
        <w:t> </w:t>
      </w:r>
      <w:r>
        <w:rPr/>
        <w:t>de</w:t>
      </w:r>
      <w:r>
        <w:rPr>
          <w:spacing w:val="-5"/>
        </w:rPr>
        <w:t> </w:t>
      </w:r>
      <w:r>
        <w:rPr>
          <w:spacing w:val="-2"/>
        </w:rPr>
        <w:t>1999.</w:t>
      </w:r>
    </w:p>
    <w:p>
      <w:pPr>
        <w:pStyle w:val="BodyText"/>
        <w:spacing w:before="228"/>
        <w:ind w:left="1" w:right="142" w:firstLine="288"/>
        <w:jc w:val="both"/>
      </w:pPr>
      <w:r>
        <w:rPr>
          <w:rFonts w:ascii="Arial" w:hAnsi="Arial"/>
          <w:b/>
        </w:rPr>
        <w:t>SEGUNDO.- </w:t>
      </w:r>
      <w:r>
        <w:rPr/>
        <w:t>Para el ejercicio fiscal de 1999 el Fondo de Aportaciones para la Educación Tecnológica y de Adultos se determinará y distribuirá de conformidad con lo dispuesto en el Decreto de Presupuesto de Egresos de la Federación para el citado ejercicio y según lo acordado en los convenios de coordinación que suscriban los Estados y</w:t>
      </w:r>
      <w:r>
        <w:rPr>
          <w:spacing w:val="-2"/>
        </w:rPr>
        <w:t> </w:t>
      </w:r>
      <w:r>
        <w:rPr/>
        <w:t>el Distrito</w:t>
      </w:r>
      <w:r>
        <w:rPr>
          <w:spacing w:val="-1"/>
        </w:rPr>
        <w:t> </w:t>
      </w:r>
      <w:r>
        <w:rPr/>
        <w:t>Federal con el Ejecutivo</w:t>
      </w:r>
      <w:r>
        <w:rPr>
          <w:spacing w:val="-1"/>
        </w:rPr>
        <w:t> </w:t>
      </w:r>
      <w:r>
        <w:rPr/>
        <w:t>Federal, por conducto de los organismos descentralizados correspondientes y de las Secretarías de Hacienda y Crédito Público, de Contraloría y Desarrollo Administrativo y de Educación Pública.</w:t>
      </w:r>
    </w:p>
    <w:p>
      <w:pPr>
        <w:pStyle w:val="BodyText"/>
        <w:spacing w:before="1"/>
      </w:pPr>
    </w:p>
    <w:p>
      <w:pPr>
        <w:pStyle w:val="BodyText"/>
        <w:ind w:left="1" w:right="145" w:firstLine="288"/>
        <w:jc w:val="both"/>
      </w:pPr>
      <w:r>
        <w:rPr>
          <w:rFonts w:ascii="Arial" w:hAnsi="Arial"/>
          <w:b/>
        </w:rPr>
        <w:t>TERCERO.- </w:t>
      </w:r>
      <w:r>
        <w:rPr/>
        <w:t>Para el ejercicio fiscal de 1999, la distribución de los recursos entre los Estados, del Fondo de Infraestructura Social Municipal a que se refiere el primer párrafo del artículo 32 de la Ley, se hará de la siguiente manera: el 84.5% de los recursos se distribuirá de acuerdo a la fórmula a que se refiere el artículo 34 de esta Ley y el 15.5% restante por partes iguales entre los Estados. Sin embargo, para la distribución hacia los Municipios por parte de los Estados, del monto total que resulte del procedimiento descrito, se aplicará estrictamente la fórmula a que se refiere el artículo 34 de esta Ley.</w:t>
      </w:r>
    </w:p>
    <w:p>
      <w:pPr>
        <w:pStyle w:val="BodyText"/>
        <w:spacing w:before="1"/>
      </w:pPr>
    </w:p>
    <w:p>
      <w:pPr>
        <w:spacing w:before="0"/>
        <w:ind w:left="1" w:right="140" w:firstLine="288"/>
        <w:jc w:val="both"/>
        <w:rPr>
          <w:sz w:val="20"/>
        </w:rPr>
      </w:pPr>
      <w:r>
        <w:rPr>
          <w:sz w:val="20"/>
        </w:rPr>
        <w:t>México,</w:t>
      </w:r>
      <w:r>
        <w:rPr>
          <w:spacing w:val="-1"/>
          <w:sz w:val="20"/>
        </w:rPr>
        <w:t> </w:t>
      </w:r>
      <w:r>
        <w:rPr>
          <w:sz w:val="20"/>
        </w:rPr>
        <w:t>D.F.,</w:t>
      </w:r>
      <w:r>
        <w:rPr>
          <w:spacing w:val="-1"/>
          <w:sz w:val="20"/>
        </w:rPr>
        <w:t> </w:t>
      </w:r>
      <w:r>
        <w:rPr>
          <w:sz w:val="20"/>
        </w:rPr>
        <w:t>a</w:t>
      </w:r>
      <w:r>
        <w:rPr>
          <w:spacing w:val="-3"/>
          <w:sz w:val="20"/>
        </w:rPr>
        <w:t> </w:t>
      </w:r>
      <w:r>
        <w:rPr>
          <w:sz w:val="20"/>
        </w:rPr>
        <w:t>30</w:t>
      </w:r>
      <w:r>
        <w:rPr>
          <w:spacing w:val="-1"/>
          <w:sz w:val="20"/>
        </w:rPr>
        <w:t> </w:t>
      </w:r>
      <w:r>
        <w:rPr>
          <w:sz w:val="20"/>
        </w:rPr>
        <w:t>de</w:t>
      </w:r>
      <w:r>
        <w:rPr>
          <w:spacing w:val="-1"/>
          <w:sz w:val="20"/>
        </w:rPr>
        <w:t> </w:t>
      </w:r>
      <w:r>
        <w:rPr>
          <w:sz w:val="20"/>
        </w:rPr>
        <w:t>diciembre</w:t>
      </w:r>
      <w:r>
        <w:rPr>
          <w:spacing w:val="-3"/>
          <w:sz w:val="20"/>
        </w:rPr>
        <w:t> </w:t>
      </w:r>
      <w:r>
        <w:rPr>
          <w:sz w:val="20"/>
        </w:rPr>
        <w:t>de</w:t>
      </w:r>
      <w:r>
        <w:rPr>
          <w:spacing w:val="-4"/>
          <w:sz w:val="20"/>
        </w:rPr>
        <w:t> </w:t>
      </w:r>
      <w:r>
        <w:rPr>
          <w:sz w:val="20"/>
        </w:rPr>
        <w:t>1998.-</w:t>
      </w:r>
      <w:r>
        <w:rPr>
          <w:spacing w:val="-2"/>
          <w:sz w:val="20"/>
        </w:rPr>
        <w:t> </w:t>
      </w:r>
      <w:r>
        <w:rPr>
          <w:sz w:val="20"/>
        </w:rPr>
        <w:t>Dip.</w:t>
      </w:r>
      <w:r>
        <w:rPr>
          <w:spacing w:val="-3"/>
          <w:sz w:val="20"/>
        </w:rPr>
        <w:t> </w:t>
      </w:r>
      <w:r>
        <w:rPr>
          <w:rFonts w:ascii="Arial" w:hAnsi="Arial"/>
          <w:b/>
          <w:sz w:val="20"/>
        </w:rPr>
        <w:t>María Mercedes</w:t>
      </w:r>
      <w:r>
        <w:rPr>
          <w:rFonts w:ascii="Arial" w:hAnsi="Arial"/>
          <w:b/>
          <w:spacing w:val="-4"/>
          <w:sz w:val="20"/>
        </w:rPr>
        <w:t> </w:t>
      </w:r>
      <w:r>
        <w:rPr>
          <w:rFonts w:ascii="Arial" w:hAnsi="Arial"/>
          <w:b/>
          <w:sz w:val="20"/>
        </w:rPr>
        <w:t>Maciel</w:t>
      </w:r>
      <w:r>
        <w:rPr>
          <w:rFonts w:ascii="Arial" w:hAnsi="Arial"/>
          <w:b/>
          <w:spacing w:val="-3"/>
          <w:sz w:val="20"/>
        </w:rPr>
        <w:t> </w:t>
      </w:r>
      <w:r>
        <w:rPr>
          <w:rFonts w:ascii="Arial" w:hAnsi="Arial"/>
          <w:b/>
          <w:sz w:val="20"/>
        </w:rPr>
        <w:t>Ortiz</w:t>
      </w:r>
      <w:r>
        <w:rPr>
          <w:sz w:val="20"/>
        </w:rPr>
        <w:t>,</w:t>
      </w:r>
      <w:r>
        <w:rPr>
          <w:spacing w:val="-1"/>
          <w:sz w:val="20"/>
        </w:rPr>
        <w:t> </w:t>
      </w:r>
      <w:r>
        <w:rPr>
          <w:sz w:val="20"/>
        </w:rPr>
        <w:t>Presidente.- Sen.</w:t>
      </w:r>
      <w:r>
        <w:rPr>
          <w:spacing w:val="-3"/>
          <w:sz w:val="20"/>
        </w:rPr>
        <w:t> </w:t>
      </w:r>
      <w:r>
        <w:rPr>
          <w:rFonts w:ascii="Arial" w:hAnsi="Arial"/>
          <w:b/>
          <w:sz w:val="20"/>
        </w:rPr>
        <w:t>Mario Vargas Aguiar</w:t>
      </w:r>
      <w:r>
        <w:rPr>
          <w:sz w:val="20"/>
        </w:rPr>
        <w:t>, Presidente.- Dip. </w:t>
      </w:r>
      <w:r>
        <w:rPr>
          <w:rFonts w:ascii="Arial" w:hAnsi="Arial"/>
          <w:b/>
          <w:sz w:val="20"/>
        </w:rPr>
        <w:t>Antonino Galaviz Olaiz</w:t>
      </w:r>
      <w:r>
        <w:rPr>
          <w:sz w:val="20"/>
        </w:rPr>
        <w:t>, Secretario.- Sen. </w:t>
      </w:r>
      <w:r>
        <w:rPr>
          <w:rFonts w:ascii="Arial" w:hAnsi="Arial"/>
          <w:b/>
          <w:sz w:val="20"/>
        </w:rPr>
        <w:t>Víctor Hugo Islas Hernández</w:t>
      </w:r>
      <w:r>
        <w:rPr>
          <w:sz w:val="20"/>
        </w:rPr>
        <w:t>, Secretario.- Rúbricas</w:t>
      </w:r>
      <w:r>
        <w:rPr>
          <w:rFonts w:ascii="Arial" w:hAnsi="Arial"/>
          <w:b/>
          <w:sz w:val="20"/>
        </w:rPr>
        <w:t>"</w:t>
      </w:r>
      <w:r>
        <w:rPr>
          <w:sz w:val="20"/>
        </w:rPr>
        <w:t>.</w:t>
      </w:r>
    </w:p>
    <w:p>
      <w:pPr>
        <w:pStyle w:val="BodyText"/>
        <w:spacing w:before="1"/>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y un días</w:t>
      </w:r>
      <w:r>
        <w:rPr>
          <w:spacing w:val="40"/>
        </w:rPr>
        <w:t> </w:t>
      </w:r>
      <w:r>
        <w:rPr/>
        <w:t>del mes de diciembre de</w:t>
      </w:r>
      <w:r>
        <w:rPr>
          <w:spacing w:val="-2"/>
        </w:rPr>
        <w:t> </w:t>
      </w:r>
      <w:r>
        <w:rPr/>
        <w:t>mil novecientos noventa y</w:t>
      </w:r>
      <w:r>
        <w:rPr>
          <w:spacing w:val="-2"/>
        </w:rPr>
        <w:t> </w:t>
      </w:r>
      <w:r>
        <w:rPr/>
        <w:t>ocho.- </w:t>
      </w:r>
      <w:r>
        <w:rPr>
          <w:rFonts w:ascii="Arial" w:hAnsi="Arial"/>
          <w:b/>
        </w:rPr>
        <w:t>Ernesto Zedillo Ponce de León</w:t>
      </w:r>
      <w:r>
        <w:rPr/>
        <w:t>.- Rúbrica.- El Secretario de Gobernación, </w:t>
      </w:r>
      <w:r>
        <w:rPr>
          <w:rFonts w:ascii="Arial" w:hAnsi="Arial"/>
          <w:b/>
        </w:rPr>
        <w:t>Francisco Labastida Ochoa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jc w:val="left"/>
      </w:pPr>
      <w:r>
        <w:rPr/>
        <w:t>LEY</w:t>
      </w:r>
      <w:r>
        <w:rPr>
          <w:spacing w:val="-6"/>
        </w:rPr>
        <w:t> </w:t>
      </w:r>
      <w:r>
        <w:rPr/>
        <w:t>que</w:t>
      </w:r>
      <w:r>
        <w:rPr>
          <w:spacing w:val="-6"/>
        </w:rPr>
        <w:t> </w:t>
      </w:r>
      <w:r>
        <w:rPr/>
        <w:t>Reforma,</w:t>
      </w:r>
      <w:r>
        <w:rPr>
          <w:spacing w:val="-3"/>
        </w:rPr>
        <w:t> </w:t>
      </w:r>
      <w:r>
        <w:rPr/>
        <w:t>Adiciona</w:t>
      </w:r>
      <w:r>
        <w:rPr>
          <w:spacing w:val="-6"/>
        </w:rPr>
        <w:t> </w:t>
      </w:r>
      <w:r>
        <w:rPr/>
        <w:t>y</w:t>
      </w:r>
      <w:r>
        <w:rPr>
          <w:spacing w:val="-9"/>
        </w:rPr>
        <w:t> </w:t>
      </w:r>
      <w:r>
        <w:rPr/>
        <w:t>Deroga</w:t>
      </w:r>
      <w:r>
        <w:rPr>
          <w:spacing w:val="-6"/>
        </w:rPr>
        <w:t> </w:t>
      </w:r>
      <w:r>
        <w:rPr/>
        <w:t>Diversas</w:t>
      </w:r>
      <w:r>
        <w:rPr>
          <w:spacing w:val="-5"/>
        </w:rPr>
        <w:t> </w:t>
      </w:r>
      <w:r>
        <w:rPr/>
        <w:t>Disposiciones</w:t>
      </w:r>
      <w:r>
        <w:rPr>
          <w:spacing w:val="-7"/>
        </w:rPr>
        <w:t> </w:t>
      </w:r>
      <w:r>
        <w:rPr>
          <w:spacing w:val="-2"/>
        </w:rPr>
        <w:t>Fiscales.</w:t>
      </w:r>
    </w:p>
    <w:p>
      <w:pPr>
        <w:spacing w:before="233"/>
        <w:ind w:left="1156" w:right="1297"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1999</w:t>
      </w:r>
    </w:p>
    <w:p>
      <w:pPr>
        <w:pStyle w:val="BodyText"/>
        <w:spacing w:before="45"/>
        <w:rPr>
          <w:sz w:val="16"/>
        </w:rPr>
      </w:pPr>
    </w:p>
    <w:p>
      <w:pPr>
        <w:spacing w:before="1"/>
        <w:ind w:left="1156" w:right="1299" w:firstLine="0"/>
        <w:jc w:val="center"/>
        <w:rPr>
          <w:rFonts w:ascii="Arial" w:hAnsi="Arial"/>
          <w:b/>
          <w:sz w:val="20"/>
        </w:rPr>
      </w:pPr>
      <w:r>
        <w:rPr>
          <w:rFonts w:ascii="Arial" w:hAnsi="Arial"/>
          <w:b/>
          <w:sz w:val="20"/>
        </w:rPr>
        <w:t>Ley</w:t>
      </w:r>
      <w:r>
        <w:rPr>
          <w:rFonts w:ascii="Arial" w:hAnsi="Arial"/>
          <w:b/>
          <w:spacing w:val="-9"/>
          <w:sz w:val="20"/>
        </w:rPr>
        <w:t> </w:t>
      </w:r>
      <w:r>
        <w:rPr>
          <w:rFonts w:ascii="Arial" w:hAnsi="Arial"/>
          <w:b/>
          <w:sz w:val="20"/>
        </w:rPr>
        <w:t>de</w:t>
      </w:r>
      <w:r>
        <w:rPr>
          <w:rFonts w:ascii="Arial" w:hAnsi="Arial"/>
          <w:b/>
          <w:spacing w:val="-6"/>
          <w:sz w:val="20"/>
        </w:rPr>
        <w:t> </w:t>
      </w:r>
      <w:r>
        <w:rPr>
          <w:rFonts w:ascii="Arial" w:hAnsi="Arial"/>
          <w:b/>
          <w:sz w:val="20"/>
        </w:rPr>
        <w:t>Coordinación</w:t>
      </w:r>
      <w:r>
        <w:rPr>
          <w:rFonts w:ascii="Arial" w:hAnsi="Arial"/>
          <w:b/>
          <w:spacing w:val="-6"/>
          <w:sz w:val="20"/>
        </w:rPr>
        <w:t> </w:t>
      </w:r>
      <w:r>
        <w:rPr>
          <w:rFonts w:ascii="Arial" w:hAnsi="Arial"/>
          <w:b/>
          <w:spacing w:val="-2"/>
          <w:sz w:val="20"/>
        </w:rPr>
        <w:t>Fiscal</w:t>
      </w:r>
    </w:p>
    <w:p>
      <w:pPr>
        <w:pStyle w:val="BodyText"/>
        <w:spacing w:line="242" w:lineRule="auto" w:before="228"/>
        <w:ind w:left="1" w:right="139" w:firstLine="288"/>
        <w:jc w:val="both"/>
      </w:pPr>
      <w:r>
        <w:rPr>
          <w:rFonts w:ascii="Arial" w:hAnsi="Arial"/>
          <w:b/>
        </w:rPr>
        <w:t>Artículo Décimo Primero. </w:t>
      </w:r>
      <w:r>
        <w:rPr/>
        <w:t>Se </w:t>
      </w:r>
      <w:r>
        <w:rPr>
          <w:rFonts w:ascii="Arial" w:hAnsi="Arial"/>
          <w:b/>
        </w:rPr>
        <w:t>REFORMAN </w:t>
      </w:r>
      <w:r>
        <w:rPr/>
        <w:t>los artículos 2o., fracción I, segundo párrafo; 3o.-A, fracción I, 3o.-B, 7o., cuarto párrafo, 34, último párrafo, 35, penúltimo y último párrafos, 36, primer</w:t>
      </w:r>
      <w:r>
        <w:rPr>
          <w:spacing w:val="80"/>
        </w:rPr>
        <w:t> </w:t>
      </w:r>
      <w:r>
        <w:rPr/>
        <w:t>párrafo, 37, 44 y 45, se </w:t>
      </w:r>
      <w:r>
        <w:rPr>
          <w:rFonts w:ascii="Arial" w:hAnsi="Arial"/>
          <w:b/>
        </w:rPr>
        <w:t>ADICIONA </w:t>
      </w:r>
      <w:r>
        <w:rPr/>
        <w:t>el artículo 3o. con un penúltimo y último párrafos de la Ley de Coordinación Fiscal para quedar como sigue:</w:t>
      </w:r>
    </w:p>
    <w:p>
      <w:pPr>
        <w:spacing w:before="224"/>
        <w:ind w:left="289" w:right="0" w:firstLine="0"/>
        <w:jc w:val="left"/>
        <w:rPr>
          <w:sz w:val="20"/>
        </w:rPr>
      </w:pPr>
      <w:r>
        <w:rPr>
          <w:spacing w:val="-2"/>
          <w:sz w:val="20"/>
        </w:rPr>
        <w:t>..........</w:t>
      </w:r>
    </w:p>
    <w:p>
      <w:pPr>
        <w:pStyle w:val="Heading1"/>
        <w:ind w:right="1298"/>
      </w:pPr>
      <w:r>
        <w:rPr>
          <w:spacing w:val="-2"/>
        </w:rPr>
        <w:t>TRANSITORIO</w:t>
      </w:r>
    </w:p>
    <w:p>
      <w:pPr>
        <w:pStyle w:val="BodyText"/>
        <w:spacing w:before="1"/>
        <w:rPr>
          <w:rFonts w:ascii="Arial"/>
          <w:b/>
        </w:rPr>
      </w:pPr>
    </w:p>
    <w:p>
      <w:pPr>
        <w:pStyle w:val="BodyText"/>
        <w:ind w:left="289"/>
      </w:pPr>
      <w:r>
        <w:rPr>
          <w:rFonts w:ascii="Arial" w:hAnsi="Arial"/>
          <w:b/>
        </w:rPr>
        <w:t>Único.</w:t>
      </w:r>
      <w:r>
        <w:rPr>
          <w:rFonts w:ascii="Arial" w:hAnsi="Arial"/>
          <w:b/>
          <w:spacing w:val="-5"/>
        </w:rPr>
        <w:t> </w:t>
      </w:r>
      <w:r>
        <w:rPr/>
        <w:t>La</w:t>
      </w:r>
      <w:r>
        <w:rPr>
          <w:spacing w:val="-5"/>
        </w:rPr>
        <w:t> </w:t>
      </w:r>
      <w:r>
        <w:rPr/>
        <w:t>presente</w:t>
      </w:r>
      <w:r>
        <w:rPr>
          <w:spacing w:val="-5"/>
        </w:rPr>
        <w:t> </w:t>
      </w:r>
      <w:r>
        <w:rPr/>
        <w:t>Ley</w:t>
      </w:r>
      <w:r>
        <w:rPr>
          <w:spacing w:val="-8"/>
        </w:rPr>
        <w:t> </w:t>
      </w:r>
      <w:r>
        <w:rPr/>
        <w:t>entrará</w:t>
      </w:r>
      <w:r>
        <w:rPr>
          <w:spacing w:val="-4"/>
        </w:rPr>
        <w:t> </w:t>
      </w:r>
      <w:r>
        <w:rPr/>
        <w:t>en</w:t>
      </w:r>
      <w:r>
        <w:rPr>
          <w:spacing w:val="-4"/>
        </w:rPr>
        <w:t> </w:t>
      </w:r>
      <w:r>
        <w:rPr/>
        <w:t>vigor</w:t>
      </w:r>
      <w:r>
        <w:rPr>
          <w:spacing w:val="-4"/>
        </w:rPr>
        <w:t> </w:t>
      </w:r>
      <w:r>
        <w:rPr/>
        <w:t>el</w:t>
      </w:r>
      <w:r>
        <w:rPr>
          <w:spacing w:val="-5"/>
        </w:rPr>
        <w:t> </w:t>
      </w:r>
      <w:r>
        <w:rPr/>
        <w:t>1o.</w:t>
      </w:r>
      <w:r>
        <w:rPr>
          <w:spacing w:val="-5"/>
        </w:rPr>
        <w:t> </w:t>
      </w:r>
      <w:r>
        <w:rPr/>
        <w:t>de</w:t>
      </w:r>
      <w:r>
        <w:rPr>
          <w:spacing w:val="-4"/>
        </w:rPr>
        <w:t> </w:t>
      </w:r>
      <w:r>
        <w:rPr/>
        <w:t>enero</w:t>
      </w:r>
      <w:r>
        <w:rPr>
          <w:spacing w:val="-5"/>
        </w:rPr>
        <w:t> </w:t>
      </w:r>
      <w:r>
        <w:rPr/>
        <w:t>de</w:t>
      </w:r>
      <w:r>
        <w:rPr>
          <w:spacing w:val="-3"/>
        </w:rPr>
        <w:t> </w:t>
      </w:r>
      <w:r>
        <w:rPr>
          <w:spacing w:val="-2"/>
        </w:rPr>
        <w:t>2000.</w:t>
      </w:r>
    </w:p>
    <w:p>
      <w:pPr>
        <w:pStyle w:val="BodyText"/>
        <w:spacing w:before="1"/>
      </w:pPr>
    </w:p>
    <w:p>
      <w:pPr>
        <w:spacing w:before="0"/>
        <w:ind w:left="1" w:right="141" w:firstLine="288"/>
        <w:jc w:val="both"/>
        <w:rPr>
          <w:rFonts w:ascii="Arial" w:hAnsi="Arial"/>
          <w:b/>
          <w:sz w:val="20"/>
        </w:rPr>
      </w:pPr>
      <w:r>
        <w:rPr>
          <w:sz w:val="20"/>
        </w:rPr>
        <w:t>México, D.F., a 15 de diciembre de 1999.- Dip. </w:t>
      </w:r>
      <w:r>
        <w:rPr>
          <w:rFonts w:ascii="Arial" w:hAnsi="Arial"/>
          <w:b/>
          <w:sz w:val="20"/>
        </w:rPr>
        <w:t>Francisco José Paoli Bolio</w:t>
      </w:r>
      <w:r>
        <w:rPr>
          <w:sz w:val="20"/>
        </w:rPr>
        <w:t>, Presidente.- Sen. </w:t>
      </w:r>
      <w:r>
        <w:rPr>
          <w:rFonts w:ascii="Arial" w:hAnsi="Arial"/>
          <w:b/>
          <w:sz w:val="20"/>
        </w:rPr>
        <w:t>Dionisio Pérez Jácome</w:t>
      </w:r>
      <w:r>
        <w:rPr>
          <w:sz w:val="20"/>
        </w:rPr>
        <w:t>, Vicepresidente en funciones.- Dip. </w:t>
      </w:r>
      <w:r>
        <w:rPr>
          <w:rFonts w:ascii="Arial" w:hAnsi="Arial"/>
          <w:b/>
          <w:sz w:val="20"/>
        </w:rPr>
        <w:t>Francisco J. Loyo Ramos</w:t>
      </w:r>
      <w:r>
        <w:rPr>
          <w:sz w:val="20"/>
        </w:rPr>
        <w:t>, Secretario.-</w:t>
      </w:r>
      <w:r>
        <w:rPr>
          <w:spacing w:val="40"/>
          <w:sz w:val="20"/>
        </w:rPr>
        <w:t> </w:t>
      </w:r>
      <w:r>
        <w:rPr>
          <w:sz w:val="20"/>
        </w:rPr>
        <w:t>Sen. </w:t>
      </w:r>
      <w:r>
        <w:rPr>
          <w:rFonts w:ascii="Arial" w:hAnsi="Arial"/>
          <w:b/>
          <w:sz w:val="20"/>
        </w:rPr>
        <w:t>Raúl Juárez Valencia</w:t>
      </w:r>
      <w:r>
        <w:rPr>
          <w:sz w:val="20"/>
        </w:rPr>
        <w:t>, Secretario.-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veintinueve días</w:t>
      </w:r>
      <w:r>
        <w:rPr>
          <w:spacing w:val="40"/>
        </w:rPr>
        <w:t> </w:t>
      </w:r>
      <w:r>
        <w:rPr/>
        <w:t>del mes de diciembre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jc w:val="left"/>
      </w:pPr>
      <w:r>
        <w:rPr/>
        <w:t>DECRETO por el que se reforma la Ley</w:t>
      </w:r>
      <w:r>
        <w:rPr>
          <w:spacing w:val="-3"/>
        </w:rPr>
        <w:t> </w:t>
      </w:r>
      <w:r>
        <w:rPr/>
        <w:t>de Coordinación</w:t>
      </w:r>
      <w:r>
        <w:rPr>
          <w:spacing w:val="-1"/>
        </w:rPr>
        <w:t> </w:t>
      </w:r>
      <w:r>
        <w:rPr/>
        <w:t>Fiscal, para incorporar al Distrito Federal en el Fondo de Aportaciones para el Fortalecimiento de los Municipios.</w:t>
      </w:r>
    </w:p>
    <w:p>
      <w:pPr>
        <w:spacing w:before="232"/>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2000</w:t>
      </w:r>
    </w:p>
    <w:p>
      <w:pPr>
        <w:pStyle w:val="BodyText"/>
        <w:spacing w:before="46"/>
        <w:rPr>
          <w:sz w:val="16"/>
        </w:rPr>
      </w:pPr>
    </w:p>
    <w:p>
      <w:pPr>
        <w:pStyle w:val="BodyText"/>
        <w:ind w:left="1" w:right="140" w:firstLine="288"/>
        <w:jc w:val="both"/>
      </w:pPr>
      <w:r>
        <w:rPr>
          <w:rFonts w:ascii="Arial" w:hAnsi="Arial"/>
          <w:b/>
        </w:rPr>
        <w:t>Artículo UNICO.- </w:t>
      </w:r>
      <w:r>
        <w:rPr/>
        <w:t>Se </w:t>
      </w:r>
      <w:r>
        <w:rPr>
          <w:rFonts w:ascii="Arial" w:hAnsi="Arial"/>
          <w:b/>
        </w:rPr>
        <w:t>reforman </w:t>
      </w:r>
      <w:r>
        <w:rPr/>
        <w:t>los artículos 1o. en su último párrafo; 6o., en su último párrafo; 10; en sus</w:t>
      </w:r>
      <w:r>
        <w:rPr>
          <w:spacing w:val="-1"/>
        </w:rPr>
        <w:t> </w:t>
      </w:r>
      <w:r>
        <w:rPr/>
        <w:t>párrafos</w:t>
      </w:r>
      <w:r>
        <w:rPr>
          <w:spacing w:val="-1"/>
        </w:rPr>
        <w:t> </w:t>
      </w:r>
      <w:r>
        <w:rPr/>
        <w:t>primero,</w:t>
      </w:r>
      <w:r>
        <w:rPr>
          <w:spacing w:val="-2"/>
        </w:rPr>
        <w:t> </w:t>
      </w:r>
      <w:r>
        <w:rPr/>
        <w:t>segundo y</w:t>
      </w:r>
      <w:r>
        <w:rPr>
          <w:spacing w:val="-3"/>
        </w:rPr>
        <w:t> </w:t>
      </w:r>
      <w:r>
        <w:rPr/>
        <w:t>último;</w:t>
      </w:r>
      <w:r>
        <w:rPr>
          <w:spacing w:val="-2"/>
        </w:rPr>
        <w:t> </w:t>
      </w:r>
      <w:r>
        <w:rPr/>
        <w:t>10-B, en</w:t>
      </w:r>
      <w:r>
        <w:rPr>
          <w:spacing w:val="-3"/>
        </w:rPr>
        <w:t> </w:t>
      </w:r>
      <w:r>
        <w:rPr/>
        <w:t>sus párrafos</w:t>
      </w:r>
      <w:r>
        <w:rPr>
          <w:spacing w:val="-1"/>
        </w:rPr>
        <w:t> </w:t>
      </w:r>
      <w:r>
        <w:rPr/>
        <w:t>primero y</w:t>
      </w:r>
      <w:r>
        <w:rPr>
          <w:spacing w:val="-5"/>
        </w:rPr>
        <w:t> </w:t>
      </w:r>
      <w:r>
        <w:rPr/>
        <w:t>segundo;</w:t>
      </w:r>
      <w:r>
        <w:rPr>
          <w:spacing w:val="-2"/>
        </w:rPr>
        <w:t> </w:t>
      </w:r>
      <w:r>
        <w:rPr/>
        <w:t>12, párrafo</w:t>
      </w:r>
      <w:r>
        <w:rPr>
          <w:spacing w:val="-2"/>
        </w:rPr>
        <w:t> </w:t>
      </w:r>
      <w:r>
        <w:rPr/>
        <w:t>primero;</w:t>
      </w:r>
      <w:r>
        <w:rPr>
          <w:spacing w:val="-2"/>
        </w:rPr>
        <w:t> </w:t>
      </w:r>
      <w:r>
        <w:rPr/>
        <w:t>13, párrafos primero, segundo, tercero y quinto, 19, fracción IV; 21, fracción IV; 25, fracción IV; 36, en su párrafo primero, para establecer los incisos a) y b); 37 y 38; se </w:t>
      </w:r>
      <w:r>
        <w:rPr>
          <w:rFonts w:ascii="Arial" w:hAnsi="Arial"/>
          <w:b/>
        </w:rPr>
        <w:t>derogan </w:t>
      </w:r>
      <w:r>
        <w:rPr/>
        <w:t>el párrafo cuarto del artículo 10, el</w:t>
      </w:r>
      <w:r>
        <w:rPr>
          <w:spacing w:val="-1"/>
        </w:rPr>
        <w:t> </w:t>
      </w:r>
      <w:r>
        <w:rPr/>
        <w:t>último</w:t>
      </w:r>
      <w:r>
        <w:rPr>
          <w:spacing w:val="-2"/>
        </w:rPr>
        <w:t> </w:t>
      </w:r>
      <w:r>
        <w:rPr/>
        <w:t>párrafo</w:t>
      </w:r>
      <w:r>
        <w:rPr>
          <w:spacing w:val="-2"/>
        </w:rPr>
        <w:t> </w:t>
      </w:r>
      <w:r>
        <w:rPr/>
        <w:t>del</w:t>
      </w:r>
      <w:r>
        <w:rPr>
          <w:spacing w:val="-3"/>
        </w:rPr>
        <w:t> </w:t>
      </w:r>
      <w:r>
        <w:rPr/>
        <w:t>artículo</w:t>
      </w:r>
      <w:r>
        <w:rPr>
          <w:spacing w:val="-2"/>
        </w:rPr>
        <w:t> </w:t>
      </w:r>
      <w:r>
        <w:rPr/>
        <w:t>10-A y</w:t>
      </w:r>
      <w:r>
        <w:rPr>
          <w:spacing w:val="-3"/>
        </w:rPr>
        <w:t> </w:t>
      </w:r>
      <w:r>
        <w:rPr/>
        <w:t>el</w:t>
      </w:r>
      <w:r>
        <w:rPr>
          <w:spacing w:val="-1"/>
        </w:rPr>
        <w:t> </w:t>
      </w:r>
      <w:r>
        <w:rPr/>
        <w:t>párrafo</w:t>
      </w:r>
      <w:r>
        <w:rPr>
          <w:spacing w:val="-2"/>
        </w:rPr>
        <w:t> </w:t>
      </w:r>
      <w:r>
        <w:rPr/>
        <w:t>cuarto</w:t>
      </w:r>
      <w:r>
        <w:rPr>
          <w:spacing w:val="-2"/>
        </w:rPr>
        <w:t> </w:t>
      </w:r>
      <w:r>
        <w:rPr/>
        <w:t>del</w:t>
      </w:r>
      <w:r>
        <w:rPr>
          <w:spacing w:val="-1"/>
        </w:rPr>
        <w:t> </w:t>
      </w:r>
      <w:r>
        <w:rPr/>
        <w:t>artículo</w:t>
      </w:r>
      <w:r>
        <w:rPr>
          <w:spacing w:val="-2"/>
        </w:rPr>
        <w:t> </w:t>
      </w:r>
      <w:r>
        <w:rPr/>
        <w:t>13</w:t>
      </w:r>
      <w:r>
        <w:rPr>
          <w:spacing w:val="-2"/>
        </w:rPr>
        <w:t> </w:t>
      </w:r>
      <w:r>
        <w:rPr/>
        <w:t>de la Ley</w:t>
      </w:r>
      <w:r>
        <w:rPr>
          <w:spacing w:val="-3"/>
        </w:rPr>
        <w:t> </w:t>
      </w:r>
      <w:r>
        <w:rPr/>
        <w:t>de</w:t>
      </w:r>
      <w:r>
        <w:rPr>
          <w:spacing w:val="-1"/>
        </w:rPr>
        <w:t> </w:t>
      </w:r>
      <w:r>
        <w:rPr/>
        <w:t>Coordinación Fiscal, para quedar como sigue:</w:t>
      </w:r>
    </w:p>
    <w:p>
      <w:pPr>
        <w:pStyle w:val="BodyText"/>
        <w:spacing w:before="3"/>
      </w:pPr>
    </w:p>
    <w:p>
      <w:pPr>
        <w:spacing w:before="0"/>
        <w:ind w:left="289" w:right="0" w:firstLine="0"/>
        <w:jc w:val="left"/>
        <w:rPr>
          <w:sz w:val="20"/>
        </w:rPr>
      </w:pPr>
      <w:r>
        <w:rPr>
          <w:spacing w:val="-2"/>
          <w:sz w:val="20"/>
        </w:rPr>
        <w:t>..........</w:t>
      </w:r>
    </w:p>
    <w:p>
      <w:pPr>
        <w:pStyle w:val="Heading2"/>
        <w:spacing w:before="227"/>
        <w:ind w:left="1156" w:right="1293"/>
      </w:pPr>
      <w:r>
        <w:rPr>
          <w:spacing w:val="-2"/>
        </w:rPr>
        <w:t>Transitorios</w:t>
      </w:r>
    </w:p>
    <w:p>
      <w:pPr>
        <w:pStyle w:val="BodyText"/>
        <w:spacing w:before="1"/>
        <w:rPr>
          <w:rFonts w:ascii="Arial"/>
          <w:b/>
        </w:rPr>
      </w:pPr>
    </w:p>
    <w:p>
      <w:pPr>
        <w:pStyle w:val="BodyText"/>
        <w:spacing w:line="242" w:lineRule="auto"/>
        <w:ind w:left="1" w:right="150" w:firstLine="288"/>
        <w:jc w:val="both"/>
      </w:pPr>
      <w:r>
        <w:rPr>
          <w:rFonts w:ascii="Arial" w:hAnsi="Arial"/>
          <w:b/>
        </w:rPr>
        <w:t>PRIMERO.- </w:t>
      </w:r>
      <w:r>
        <w:rPr/>
        <w:t>El presente</w:t>
      </w:r>
      <w:r>
        <w:rPr>
          <w:spacing w:val="-1"/>
        </w:rPr>
        <w:t> </w:t>
      </w:r>
      <w:r>
        <w:rPr/>
        <w:t>Decreto</w:t>
      </w:r>
      <w:r>
        <w:rPr>
          <w:spacing w:val="-2"/>
        </w:rPr>
        <w:t> </w:t>
      </w:r>
      <w:r>
        <w:rPr/>
        <w:t>entrará</w:t>
      </w:r>
      <w:r>
        <w:rPr>
          <w:spacing w:val="-1"/>
        </w:rPr>
        <w:t> </w:t>
      </w:r>
      <w:r>
        <w:rPr/>
        <w:t>en vigor el</w:t>
      </w:r>
      <w:r>
        <w:rPr>
          <w:spacing w:val="-2"/>
        </w:rPr>
        <w:t> </w:t>
      </w:r>
      <w:r>
        <w:rPr/>
        <w:t>1o.</w:t>
      </w:r>
      <w:r>
        <w:rPr>
          <w:spacing w:val="-1"/>
        </w:rPr>
        <w:t> </w:t>
      </w:r>
      <w:r>
        <w:rPr/>
        <w:t>de enero</w:t>
      </w:r>
      <w:r>
        <w:rPr>
          <w:spacing w:val="-1"/>
        </w:rPr>
        <w:t> </w:t>
      </w:r>
      <w:r>
        <w:rPr/>
        <w:t>de</w:t>
      </w:r>
      <w:r>
        <w:rPr>
          <w:spacing w:val="-1"/>
        </w:rPr>
        <w:t> </w:t>
      </w:r>
      <w:r>
        <w:rPr/>
        <w:t>2001, con las excepciones que</w:t>
      </w:r>
      <w:r>
        <w:rPr>
          <w:spacing w:val="-2"/>
        </w:rPr>
        <w:t> </w:t>
      </w:r>
      <w:r>
        <w:rPr/>
        <w:t>se establecen en el artículo siguiente.</w:t>
      </w:r>
    </w:p>
    <w:p>
      <w:pPr>
        <w:pStyle w:val="BodyText"/>
        <w:spacing w:before="224"/>
        <w:ind w:left="1" w:right="142" w:firstLine="288"/>
        <w:jc w:val="both"/>
      </w:pPr>
      <w:r>
        <w:rPr>
          <w:rFonts w:ascii="Arial" w:hAnsi="Arial"/>
          <w:b/>
        </w:rPr>
        <w:t>SEGUNDO.- </w:t>
      </w:r>
      <w:r>
        <w:rPr/>
        <w:t>En tanto entra en vigor en el Distrito Federal el Convenio de Adhesión al Sistema Nacional de Coordinación Fiscal y el Convenio de Colaboración Administrativa en Materia Fiscal Federal que al efecto sean celebrados por el Gobierno del Distrito Federal y la Secretaría de Hacienda y Crédito Público, así como la declaratoria de coordinación en derechos que dicte la propia Secretaría, continuarán vigentes las disposiciones y acuerdos siguientes:</w:t>
      </w:r>
    </w:p>
    <w:p>
      <w:pPr>
        <w:pStyle w:val="BodyText"/>
        <w:spacing w:before="1"/>
      </w:pPr>
    </w:p>
    <w:p>
      <w:pPr>
        <w:pStyle w:val="ListParagraph"/>
        <w:numPr>
          <w:ilvl w:val="0"/>
          <w:numId w:val="19"/>
        </w:numPr>
        <w:tabs>
          <w:tab w:pos="721" w:val="left" w:leader="none"/>
        </w:tabs>
        <w:spacing w:line="240" w:lineRule="auto" w:before="0" w:after="0"/>
        <w:ind w:left="721" w:right="0" w:hanging="432"/>
        <w:jc w:val="left"/>
        <w:rPr>
          <w:sz w:val="20"/>
        </w:rPr>
      </w:pPr>
      <w:r>
        <w:rPr>
          <w:sz w:val="20"/>
        </w:rPr>
        <w:t>El</w:t>
      </w:r>
      <w:r>
        <w:rPr>
          <w:spacing w:val="-5"/>
          <w:sz w:val="20"/>
        </w:rPr>
        <w:t> </w:t>
      </w:r>
      <w:r>
        <w:rPr>
          <w:sz w:val="20"/>
        </w:rPr>
        <w:t>último</w:t>
      </w:r>
      <w:r>
        <w:rPr>
          <w:spacing w:val="-6"/>
          <w:sz w:val="20"/>
        </w:rPr>
        <w:t> </w:t>
      </w:r>
      <w:r>
        <w:rPr>
          <w:sz w:val="20"/>
        </w:rPr>
        <w:t>párrafo</w:t>
      </w:r>
      <w:r>
        <w:rPr>
          <w:spacing w:val="-6"/>
          <w:sz w:val="20"/>
        </w:rPr>
        <w:t> </w:t>
      </w:r>
      <w:r>
        <w:rPr>
          <w:sz w:val="20"/>
        </w:rPr>
        <w:t>del</w:t>
      </w:r>
      <w:r>
        <w:rPr>
          <w:spacing w:val="-5"/>
          <w:sz w:val="20"/>
        </w:rPr>
        <w:t> </w:t>
      </w:r>
      <w:r>
        <w:rPr>
          <w:sz w:val="20"/>
        </w:rPr>
        <w:t>artículo</w:t>
      </w:r>
      <w:r>
        <w:rPr>
          <w:spacing w:val="-5"/>
          <w:sz w:val="20"/>
        </w:rPr>
        <w:t> </w:t>
      </w:r>
      <w:r>
        <w:rPr>
          <w:sz w:val="20"/>
        </w:rPr>
        <w:t>1o.</w:t>
      </w:r>
      <w:r>
        <w:rPr>
          <w:spacing w:val="-4"/>
          <w:sz w:val="20"/>
        </w:rPr>
        <w:t> </w:t>
      </w:r>
      <w:r>
        <w:rPr>
          <w:sz w:val="20"/>
        </w:rPr>
        <w:t>de</w:t>
      </w:r>
      <w:r>
        <w:rPr>
          <w:spacing w:val="-5"/>
          <w:sz w:val="20"/>
        </w:rPr>
        <w:t> </w:t>
      </w:r>
      <w:r>
        <w:rPr>
          <w:sz w:val="20"/>
        </w:rPr>
        <w:t>la</w:t>
      </w:r>
      <w:r>
        <w:rPr>
          <w:spacing w:val="-4"/>
          <w:sz w:val="20"/>
        </w:rPr>
        <w:t> </w:t>
      </w:r>
      <w:r>
        <w:rPr>
          <w:sz w:val="20"/>
        </w:rPr>
        <w:t>Ley</w:t>
      </w:r>
      <w:r>
        <w:rPr>
          <w:spacing w:val="-9"/>
          <w:sz w:val="20"/>
        </w:rPr>
        <w:t> </w:t>
      </w:r>
      <w:r>
        <w:rPr>
          <w:sz w:val="20"/>
        </w:rPr>
        <w:t>de</w:t>
      </w:r>
      <w:r>
        <w:rPr>
          <w:spacing w:val="-5"/>
          <w:sz w:val="20"/>
        </w:rPr>
        <w:t> </w:t>
      </w:r>
      <w:r>
        <w:rPr>
          <w:sz w:val="20"/>
        </w:rPr>
        <w:t>Coordinación</w:t>
      </w:r>
      <w:r>
        <w:rPr>
          <w:spacing w:val="-7"/>
          <w:sz w:val="20"/>
        </w:rPr>
        <w:t> </w:t>
      </w:r>
      <w:r>
        <w:rPr>
          <w:spacing w:val="-2"/>
          <w:sz w:val="20"/>
        </w:rPr>
        <w:t>Fiscal.</w:t>
      </w:r>
    </w:p>
    <w:p>
      <w:pPr>
        <w:pStyle w:val="BodyText"/>
        <w:spacing w:before="1"/>
      </w:pPr>
    </w:p>
    <w:p>
      <w:pPr>
        <w:pStyle w:val="ListParagraph"/>
        <w:numPr>
          <w:ilvl w:val="0"/>
          <w:numId w:val="19"/>
        </w:numPr>
        <w:tabs>
          <w:tab w:pos="721" w:val="left" w:leader="none"/>
        </w:tabs>
        <w:spacing w:line="240" w:lineRule="auto" w:before="0" w:after="0"/>
        <w:ind w:left="721" w:right="0" w:hanging="432"/>
        <w:jc w:val="left"/>
        <w:rPr>
          <w:sz w:val="20"/>
        </w:rPr>
      </w:pPr>
      <w:r>
        <w:rPr>
          <w:sz w:val="20"/>
        </w:rPr>
        <w:t>El</w:t>
      </w:r>
      <w:r>
        <w:rPr>
          <w:spacing w:val="-5"/>
          <w:sz w:val="20"/>
        </w:rPr>
        <w:t> </w:t>
      </w:r>
      <w:r>
        <w:rPr>
          <w:sz w:val="20"/>
        </w:rPr>
        <w:t>penúltimo</w:t>
      </w:r>
      <w:r>
        <w:rPr>
          <w:spacing w:val="-6"/>
          <w:sz w:val="20"/>
        </w:rPr>
        <w:t> </w:t>
      </w:r>
      <w:r>
        <w:rPr>
          <w:sz w:val="20"/>
        </w:rPr>
        <w:t>párrafo</w:t>
      </w:r>
      <w:r>
        <w:rPr>
          <w:spacing w:val="-6"/>
          <w:sz w:val="20"/>
        </w:rPr>
        <w:t> </w:t>
      </w:r>
      <w:r>
        <w:rPr>
          <w:sz w:val="20"/>
        </w:rPr>
        <w:t>del</w:t>
      </w:r>
      <w:r>
        <w:rPr>
          <w:spacing w:val="-5"/>
          <w:sz w:val="20"/>
        </w:rPr>
        <w:t> </w:t>
      </w:r>
      <w:r>
        <w:rPr>
          <w:sz w:val="20"/>
        </w:rPr>
        <w:t>artículo</w:t>
      </w:r>
      <w:r>
        <w:rPr>
          <w:spacing w:val="-4"/>
          <w:sz w:val="20"/>
        </w:rPr>
        <w:t> </w:t>
      </w:r>
      <w:r>
        <w:rPr>
          <w:sz w:val="20"/>
        </w:rPr>
        <w:t>10</w:t>
      </w:r>
      <w:r>
        <w:rPr>
          <w:spacing w:val="-5"/>
          <w:sz w:val="20"/>
        </w:rPr>
        <w:t> </w:t>
      </w:r>
      <w:r>
        <w:rPr>
          <w:sz w:val="20"/>
        </w:rPr>
        <w:t>de</w:t>
      </w:r>
      <w:r>
        <w:rPr>
          <w:spacing w:val="-6"/>
          <w:sz w:val="20"/>
        </w:rPr>
        <w:t> </w:t>
      </w:r>
      <w:r>
        <w:rPr>
          <w:sz w:val="20"/>
        </w:rPr>
        <w:t>la</w:t>
      </w:r>
      <w:r>
        <w:rPr>
          <w:spacing w:val="-6"/>
          <w:sz w:val="20"/>
        </w:rPr>
        <w:t> </w:t>
      </w:r>
      <w:r>
        <w:rPr>
          <w:sz w:val="20"/>
        </w:rPr>
        <w:t>Ley</w:t>
      </w:r>
      <w:r>
        <w:rPr>
          <w:spacing w:val="-6"/>
          <w:sz w:val="20"/>
        </w:rPr>
        <w:t> </w:t>
      </w:r>
      <w:r>
        <w:rPr>
          <w:sz w:val="20"/>
        </w:rPr>
        <w:t>de</w:t>
      </w:r>
      <w:r>
        <w:rPr>
          <w:spacing w:val="-7"/>
          <w:sz w:val="20"/>
        </w:rPr>
        <w:t> </w:t>
      </w:r>
      <w:r>
        <w:rPr>
          <w:sz w:val="20"/>
        </w:rPr>
        <w:t>Coordinación</w:t>
      </w:r>
      <w:r>
        <w:rPr>
          <w:spacing w:val="-7"/>
          <w:sz w:val="20"/>
        </w:rPr>
        <w:t> </w:t>
      </w:r>
      <w:r>
        <w:rPr>
          <w:spacing w:val="-2"/>
          <w:sz w:val="20"/>
        </w:rPr>
        <w:t>Fiscal.</w:t>
      </w:r>
    </w:p>
    <w:p>
      <w:pPr>
        <w:pStyle w:val="ListParagraph"/>
        <w:numPr>
          <w:ilvl w:val="0"/>
          <w:numId w:val="19"/>
        </w:numPr>
        <w:tabs>
          <w:tab w:pos="721" w:val="left" w:leader="none"/>
        </w:tabs>
        <w:spacing w:line="240" w:lineRule="auto" w:before="228" w:after="0"/>
        <w:ind w:left="721" w:right="0" w:hanging="432"/>
        <w:jc w:val="left"/>
        <w:rPr>
          <w:sz w:val="20"/>
        </w:rPr>
      </w:pPr>
      <w:r>
        <w:rPr>
          <w:sz w:val="20"/>
        </w:rPr>
        <w:t>El</w:t>
      </w:r>
      <w:r>
        <w:rPr>
          <w:spacing w:val="-5"/>
          <w:sz w:val="20"/>
        </w:rPr>
        <w:t> </w:t>
      </w:r>
      <w:r>
        <w:rPr>
          <w:sz w:val="20"/>
        </w:rPr>
        <w:t>último</w:t>
      </w:r>
      <w:r>
        <w:rPr>
          <w:spacing w:val="-6"/>
          <w:sz w:val="20"/>
        </w:rPr>
        <w:t> </w:t>
      </w:r>
      <w:r>
        <w:rPr>
          <w:sz w:val="20"/>
        </w:rPr>
        <w:t>párrafo</w:t>
      </w:r>
      <w:r>
        <w:rPr>
          <w:spacing w:val="-5"/>
          <w:sz w:val="20"/>
        </w:rPr>
        <w:t> </w:t>
      </w:r>
      <w:r>
        <w:rPr>
          <w:sz w:val="20"/>
        </w:rPr>
        <w:t>del</w:t>
      </w:r>
      <w:r>
        <w:rPr>
          <w:spacing w:val="-5"/>
          <w:sz w:val="20"/>
        </w:rPr>
        <w:t> </w:t>
      </w:r>
      <w:r>
        <w:rPr>
          <w:sz w:val="20"/>
        </w:rPr>
        <w:t>artículo</w:t>
      </w:r>
      <w:r>
        <w:rPr>
          <w:spacing w:val="-5"/>
          <w:sz w:val="20"/>
        </w:rPr>
        <w:t> </w:t>
      </w:r>
      <w:r>
        <w:rPr>
          <w:sz w:val="20"/>
        </w:rPr>
        <w:t>10-A</w:t>
      </w:r>
      <w:r>
        <w:rPr>
          <w:spacing w:val="-6"/>
          <w:sz w:val="20"/>
        </w:rPr>
        <w:t> </w:t>
      </w:r>
      <w:r>
        <w:rPr>
          <w:sz w:val="20"/>
        </w:rPr>
        <w:t>de</w:t>
      </w:r>
      <w:r>
        <w:rPr>
          <w:spacing w:val="-3"/>
          <w:sz w:val="20"/>
        </w:rPr>
        <w:t> </w:t>
      </w:r>
      <w:r>
        <w:rPr>
          <w:sz w:val="20"/>
        </w:rPr>
        <w:t>la</w:t>
      </w:r>
      <w:r>
        <w:rPr>
          <w:spacing w:val="-4"/>
          <w:sz w:val="20"/>
        </w:rPr>
        <w:t> </w:t>
      </w:r>
      <w:r>
        <w:rPr>
          <w:sz w:val="20"/>
        </w:rPr>
        <w:t>Ley</w:t>
      </w:r>
      <w:r>
        <w:rPr>
          <w:spacing w:val="-8"/>
          <w:sz w:val="20"/>
        </w:rPr>
        <w:t> </w:t>
      </w:r>
      <w:r>
        <w:rPr>
          <w:sz w:val="20"/>
        </w:rPr>
        <w:t>de</w:t>
      </w:r>
      <w:r>
        <w:rPr>
          <w:spacing w:val="-6"/>
          <w:sz w:val="20"/>
        </w:rPr>
        <w:t> </w:t>
      </w:r>
      <w:r>
        <w:rPr>
          <w:sz w:val="20"/>
        </w:rPr>
        <w:t>Coordinación</w:t>
      </w:r>
      <w:r>
        <w:rPr>
          <w:spacing w:val="-5"/>
          <w:sz w:val="20"/>
        </w:rPr>
        <w:t> </w:t>
      </w:r>
      <w:r>
        <w:rPr>
          <w:spacing w:val="-2"/>
          <w:sz w:val="20"/>
        </w:rPr>
        <w:t>Fiscal.</w:t>
      </w:r>
    </w:p>
    <w:p>
      <w:pPr>
        <w:pStyle w:val="BodyText"/>
        <w:spacing w:before="1"/>
      </w:pPr>
    </w:p>
    <w:p>
      <w:pPr>
        <w:pStyle w:val="ListParagraph"/>
        <w:numPr>
          <w:ilvl w:val="0"/>
          <w:numId w:val="19"/>
        </w:numPr>
        <w:tabs>
          <w:tab w:pos="721" w:val="left" w:leader="none"/>
        </w:tabs>
        <w:spacing w:line="240" w:lineRule="auto" w:before="0" w:after="0"/>
        <w:ind w:left="721" w:right="0" w:hanging="432"/>
        <w:jc w:val="left"/>
        <w:rPr>
          <w:sz w:val="20"/>
        </w:rPr>
      </w:pPr>
      <w:r>
        <w:rPr>
          <w:sz w:val="20"/>
        </w:rPr>
        <w:t>El</w:t>
      </w:r>
      <w:r>
        <w:rPr>
          <w:spacing w:val="-7"/>
          <w:sz w:val="20"/>
        </w:rPr>
        <w:t> </w:t>
      </w:r>
      <w:r>
        <w:rPr>
          <w:sz w:val="20"/>
        </w:rPr>
        <w:t>cuarto</w:t>
      </w:r>
      <w:r>
        <w:rPr>
          <w:spacing w:val="-1"/>
          <w:sz w:val="20"/>
        </w:rPr>
        <w:t> </w:t>
      </w:r>
      <w:r>
        <w:rPr>
          <w:sz w:val="20"/>
        </w:rPr>
        <w:t>y</w:t>
      </w:r>
      <w:r>
        <w:rPr>
          <w:spacing w:val="-9"/>
          <w:sz w:val="20"/>
        </w:rPr>
        <w:t> </w:t>
      </w:r>
      <w:r>
        <w:rPr>
          <w:sz w:val="20"/>
        </w:rPr>
        <w:t>quinto</w:t>
      </w:r>
      <w:r>
        <w:rPr>
          <w:spacing w:val="-7"/>
          <w:sz w:val="20"/>
        </w:rPr>
        <w:t> </w:t>
      </w:r>
      <w:r>
        <w:rPr>
          <w:sz w:val="20"/>
        </w:rPr>
        <w:t>párrafos</w:t>
      </w:r>
      <w:r>
        <w:rPr>
          <w:spacing w:val="-5"/>
          <w:sz w:val="20"/>
        </w:rPr>
        <w:t> </w:t>
      </w:r>
      <w:r>
        <w:rPr>
          <w:sz w:val="20"/>
        </w:rPr>
        <w:t>del</w:t>
      </w:r>
      <w:r>
        <w:rPr>
          <w:spacing w:val="-4"/>
          <w:sz w:val="20"/>
        </w:rPr>
        <w:t> </w:t>
      </w:r>
      <w:r>
        <w:rPr>
          <w:sz w:val="20"/>
        </w:rPr>
        <w:t>artículo</w:t>
      </w:r>
      <w:r>
        <w:rPr>
          <w:spacing w:val="-6"/>
          <w:sz w:val="20"/>
        </w:rPr>
        <w:t> </w:t>
      </w:r>
      <w:r>
        <w:rPr>
          <w:sz w:val="20"/>
        </w:rPr>
        <w:t>13</w:t>
      </w:r>
      <w:r>
        <w:rPr>
          <w:spacing w:val="-6"/>
          <w:sz w:val="20"/>
        </w:rPr>
        <w:t> </w:t>
      </w:r>
      <w:r>
        <w:rPr>
          <w:sz w:val="20"/>
        </w:rPr>
        <w:t>de</w:t>
      </w:r>
      <w:r>
        <w:rPr>
          <w:spacing w:val="-4"/>
          <w:sz w:val="20"/>
        </w:rPr>
        <w:t> </w:t>
      </w:r>
      <w:r>
        <w:rPr>
          <w:sz w:val="20"/>
        </w:rPr>
        <w:t>la</w:t>
      </w:r>
      <w:r>
        <w:rPr>
          <w:spacing w:val="-4"/>
          <w:sz w:val="20"/>
        </w:rPr>
        <w:t> </w:t>
      </w:r>
      <w:r>
        <w:rPr>
          <w:sz w:val="20"/>
        </w:rPr>
        <w:t>Ley</w:t>
      </w:r>
      <w:r>
        <w:rPr>
          <w:spacing w:val="-8"/>
          <w:sz w:val="20"/>
        </w:rPr>
        <w:t> </w:t>
      </w:r>
      <w:r>
        <w:rPr>
          <w:sz w:val="20"/>
        </w:rPr>
        <w:t>de</w:t>
      </w:r>
      <w:r>
        <w:rPr>
          <w:spacing w:val="-4"/>
          <w:sz w:val="20"/>
        </w:rPr>
        <w:t> </w:t>
      </w:r>
      <w:r>
        <w:rPr>
          <w:sz w:val="20"/>
        </w:rPr>
        <w:t>Coordinación</w:t>
      </w:r>
      <w:r>
        <w:rPr>
          <w:spacing w:val="-7"/>
          <w:sz w:val="20"/>
        </w:rPr>
        <w:t> </w:t>
      </w:r>
      <w:r>
        <w:rPr>
          <w:spacing w:val="-2"/>
          <w:sz w:val="20"/>
        </w:rPr>
        <w:t>Fiscal.</w:t>
      </w:r>
    </w:p>
    <w:p>
      <w:pPr>
        <w:pStyle w:val="BodyText"/>
        <w:spacing w:before="1"/>
      </w:pPr>
    </w:p>
    <w:p>
      <w:pPr>
        <w:pStyle w:val="ListParagraph"/>
        <w:numPr>
          <w:ilvl w:val="0"/>
          <w:numId w:val="19"/>
        </w:numPr>
        <w:tabs>
          <w:tab w:pos="719" w:val="left" w:leader="none"/>
          <w:tab w:pos="721" w:val="left" w:leader="none"/>
        </w:tabs>
        <w:spacing w:line="240" w:lineRule="auto" w:before="0" w:after="0"/>
        <w:ind w:left="721" w:right="140" w:hanging="432"/>
        <w:jc w:val="both"/>
        <w:rPr>
          <w:sz w:val="20"/>
        </w:rPr>
      </w:pPr>
      <w:r>
        <w:rPr>
          <w:sz w:val="20"/>
        </w:rPr>
        <w:t>El Acuerdo a la Secretaría de Hacienda y Crédito Público y al Departamento del Distrito Federal para su Coordinación en Impuestos Federales, publicado en el </w:t>
      </w:r>
      <w:r>
        <w:rPr>
          <w:rFonts w:ascii="Arial" w:hAnsi="Arial"/>
          <w:b/>
          <w:sz w:val="20"/>
        </w:rPr>
        <w:t>Diario Oficial de la Federación </w:t>
      </w:r>
      <w:r>
        <w:rPr>
          <w:sz w:val="20"/>
        </w:rPr>
        <w:t>de 28 de diciembre de 1979.</w:t>
      </w:r>
    </w:p>
    <w:p>
      <w:pPr>
        <w:pStyle w:val="ListParagraph"/>
        <w:numPr>
          <w:ilvl w:val="0"/>
          <w:numId w:val="19"/>
        </w:numPr>
        <w:tabs>
          <w:tab w:pos="719" w:val="left" w:leader="none"/>
          <w:tab w:pos="721" w:val="left" w:leader="none"/>
        </w:tabs>
        <w:spacing w:line="240" w:lineRule="auto" w:before="229" w:after="0"/>
        <w:ind w:left="721" w:right="139" w:hanging="432"/>
        <w:jc w:val="both"/>
        <w:rPr>
          <w:sz w:val="20"/>
        </w:rPr>
      </w:pPr>
      <w:r>
        <w:rPr>
          <w:sz w:val="20"/>
        </w:rPr>
        <w:t>Anexo al Acuerdo a la Secretaría de Hacienda y Crédito Público y al Departamento del Distrito Federal para su Coordinación en Impuestos Federales, publicado en el </w:t>
      </w:r>
      <w:r>
        <w:rPr>
          <w:rFonts w:ascii="Arial" w:hAnsi="Arial"/>
          <w:b/>
          <w:sz w:val="20"/>
        </w:rPr>
        <w:t>Diario Oficial de la Federación </w:t>
      </w:r>
      <w:r>
        <w:rPr>
          <w:sz w:val="20"/>
        </w:rPr>
        <w:t>de 28 de diciembre de 1979.</w:t>
      </w:r>
    </w:p>
    <w:p>
      <w:pPr>
        <w:pStyle w:val="BodyText"/>
      </w:pPr>
    </w:p>
    <w:p>
      <w:pPr>
        <w:pStyle w:val="ListParagraph"/>
        <w:numPr>
          <w:ilvl w:val="0"/>
          <w:numId w:val="19"/>
        </w:numPr>
        <w:tabs>
          <w:tab w:pos="719" w:val="left" w:leader="none"/>
          <w:tab w:pos="721" w:val="left" w:leader="none"/>
        </w:tabs>
        <w:spacing w:line="240" w:lineRule="auto" w:before="0" w:after="0"/>
        <w:ind w:left="721" w:right="150" w:hanging="432"/>
        <w:jc w:val="both"/>
        <w:rPr>
          <w:sz w:val="20"/>
        </w:rPr>
      </w:pPr>
      <w:r>
        <w:rPr>
          <w:sz w:val="20"/>
        </w:rPr>
        <w:t>El Acuerdo que Modifica y Adiciona el Acuerdo a la Secretaría de Hacienda y</w:t>
      </w:r>
      <w:r>
        <w:rPr>
          <w:spacing w:val="-2"/>
          <w:sz w:val="20"/>
        </w:rPr>
        <w:t> </w:t>
      </w:r>
      <w:r>
        <w:rPr>
          <w:sz w:val="20"/>
        </w:rPr>
        <w:t>Crédito Público y</w:t>
      </w:r>
      <w:r>
        <w:rPr>
          <w:spacing w:val="-2"/>
          <w:sz w:val="20"/>
        </w:rPr>
        <w:t> </w:t>
      </w:r>
      <w:r>
        <w:rPr>
          <w:sz w:val="20"/>
        </w:rPr>
        <w:t>al Departamento del Distrito Federal para su Coordinación en Impuestos Federales, publicado en el </w:t>
      </w:r>
      <w:r>
        <w:rPr>
          <w:rFonts w:ascii="Arial" w:hAnsi="Arial"/>
          <w:b/>
          <w:sz w:val="20"/>
        </w:rPr>
        <w:t>Diario Oficial de la Federación </w:t>
      </w:r>
      <w:r>
        <w:rPr>
          <w:sz w:val="20"/>
        </w:rPr>
        <w:t>de 9 de septiembre de 1981.</w:t>
      </w:r>
    </w:p>
    <w:p>
      <w:pPr>
        <w:pStyle w:val="BodyText"/>
        <w:spacing w:before="1"/>
      </w:pPr>
    </w:p>
    <w:p>
      <w:pPr>
        <w:pStyle w:val="ListParagraph"/>
        <w:numPr>
          <w:ilvl w:val="0"/>
          <w:numId w:val="19"/>
        </w:numPr>
        <w:tabs>
          <w:tab w:pos="719" w:val="left" w:leader="none"/>
          <w:tab w:pos="721" w:val="left" w:leader="none"/>
        </w:tabs>
        <w:spacing w:line="240" w:lineRule="auto" w:before="1" w:after="0"/>
        <w:ind w:left="721" w:right="148" w:hanging="432"/>
        <w:jc w:val="both"/>
        <w:rPr>
          <w:sz w:val="20"/>
        </w:rPr>
      </w:pPr>
      <w:r>
        <w:rPr>
          <w:sz w:val="20"/>
        </w:rPr>
        <w:t>El artículo Primero Transitorio del Acuerdo a la Secretaría de Hacienda y Crédito Público y al Departamento del Distrito Federal para la Colaboración Administrativa de este último en Materia Fiscal Federal, publicado en el </w:t>
      </w:r>
      <w:r>
        <w:rPr>
          <w:rFonts w:ascii="Arial" w:hAnsi="Arial"/>
          <w:b/>
          <w:sz w:val="20"/>
        </w:rPr>
        <w:t>Diario Oficial de la Federación </w:t>
      </w:r>
      <w:r>
        <w:rPr>
          <w:sz w:val="20"/>
        </w:rPr>
        <w:t>de 21 de diciembre de 1983.</w:t>
      </w:r>
    </w:p>
    <w:p>
      <w:pPr>
        <w:pStyle w:val="ListParagraph"/>
        <w:numPr>
          <w:ilvl w:val="0"/>
          <w:numId w:val="19"/>
        </w:numPr>
        <w:tabs>
          <w:tab w:pos="721" w:val="left" w:leader="none"/>
        </w:tabs>
        <w:spacing w:line="240" w:lineRule="auto" w:before="229" w:after="0"/>
        <w:ind w:left="721" w:right="141" w:hanging="432"/>
        <w:jc w:val="both"/>
        <w:rPr>
          <w:sz w:val="20"/>
        </w:rPr>
      </w:pPr>
      <w:r>
        <w:rPr>
          <w:sz w:val="20"/>
        </w:rPr>
        <w:t>El Acuerdo a la Secretaría de Hacienda y Crédito Público y al Departamento del Distrito Federal para la Colaboración Administrativa de este último en Materia Fiscal Federal, publicado en el </w:t>
      </w:r>
      <w:r>
        <w:rPr>
          <w:rFonts w:ascii="Arial" w:hAnsi="Arial"/>
          <w:b/>
          <w:sz w:val="20"/>
        </w:rPr>
        <w:t>Diario Oficial de la Federación </w:t>
      </w:r>
      <w:r>
        <w:rPr>
          <w:sz w:val="20"/>
        </w:rPr>
        <w:t>de 23 de mayo de 1997.</w:t>
      </w:r>
    </w:p>
    <w:p>
      <w:pPr>
        <w:pStyle w:val="ListParagraph"/>
        <w:spacing w:after="0" w:line="240" w:lineRule="auto"/>
        <w:jc w:val="both"/>
        <w:rPr>
          <w:sz w:val="20"/>
        </w:rPr>
        <w:sectPr>
          <w:pgSz w:w="12250" w:h="15850"/>
          <w:pgMar w:header="724" w:footer="712" w:top="1880" w:bottom="900" w:left="1417" w:right="1275"/>
        </w:sectPr>
      </w:pPr>
    </w:p>
    <w:p>
      <w:pPr>
        <w:pStyle w:val="BodyText"/>
        <w:spacing w:before="65"/>
      </w:pPr>
    </w:p>
    <w:p>
      <w:pPr>
        <w:pStyle w:val="BodyText"/>
        <w:spacing w:line="242" w:lineRule="auto"/>
        <w:ind w:left="1" w:right="148" w:firstLine="288"/>
        <w:jc w:val="both"/>
      </w:pPr>
      <w:r>
        <w:rPr>
          <w:rFonts w:ascii="Arial"/>
          <w:b/>
        </w:rPr>
        <w:t>TERCERO.- </w:t>
      </w:r>
      <w:r>
        <w:rPr/>
        <w:t>Se derogan todas las disposiciones legales, reglamentarias y administrativas que se opongan al presente Decreto.</w:t>
      </w:r>
    </w:p>
    <w:p>
      <w:pPr>
        <w:spacing w:before="224"/>
        <w:ind w:left="1" w:right="137" w:firstLine="288"/>
        <w:jc w:val="both"/>
        <w:rPr>
          <w:rFonts w:ascii="Arial" w:hAnsi="Arial"/>
          <w:b/>
          <w:sz w:val="20"/>
        </w:rPr>
      </w:pPr>
      <w:r>
        <w:rPr>
          <w:sz w:val="20"/>
        </w:rPr>
        <w:t>México,</w:t>
      </w:r>
      <w:r>
        <w:rPr>
          <w:spacing w:val="-1"/>
          <w:sz w:val="20"/>
        </w:rPr>
        <w:t> </w:t>
      </w:r>
      <w:r>
        <w:rPr>
          <w:sz w:val="20"/>
        </w:rPr>
        <w:t>D.F.,</w:t>
      </w:r>
      <w:r>
        <w:rPr>
          <w:spacing w:val="-1"/>
          <w:sz w:val="20"/>
        </w:rPr>
        <w:t> </w:t>
      </w:r>
      <w:r>
        <w:rPr>
          <w:sz w:val="20"/>
        </w:rPr>
        <w:t>a</w:t>
      </w:r>
      <w:r>
        <w:rPr>
          <w:spacing w:val="-1"/>
          <w:sz w:val="20"/>
        </w:rPr>
        <w:t> </w:t>
      </w:r>
      <w:r>
        <w:rPr>
          <w:sz w:val="20"/>
        </w:rPr>
        <w:t>28 de</w:t>
      </w:r>
      <w:r>
        <w:rPr>
          <w:spacing w:val="-2"/>
          <w:sz w:val="20"/>
        </w:rPr>
        <w:t> </w:t>
      </w:r>
      <w:r>
        <w:rPr>
          <w:sz w:val="20"/>
        </w:rPr>
        <w:t>diciembre</w:t>
      </w:r>
      <w:r>
        <w:rPr>
          <w:spacing w:val="-1"/>
          <w:sz w:val="20"/>
        </w:rPr>
        <w:t> </w:t>
      </w:r>
      <w:r>
        <w:rPr>
          <w:sz w:val="20"/>
        </w:rPr>
        <w:t>de</w:t>
      </w:r>
      <w:r>
        <w:rPr>
          <w:spacing w:val="-2"/>
          <w:sz w:val="20"/>
        </w:rPr>
        <w:t> </w:t>
      </w:r>
      <w:r>
        <w:rPr>
          <w:sz w:val="20"/>
        </w:rPr>
        <w:t>2000.- Dip.</w:t>
      </w:r>
      <w:r>
        <w:rPr>
          <w:spacing w:val="-1"/>
          <w:sz w:val="20"/>
        </w:rPr>
        <w:t> </w:t>
      </w:r>
      <w:r>
        <w:rPr>
          <w:rFonts w:ascii="Arial" w:hAnsi="Arial"/>
          <w:b/>
          <w:sz w:val="20"/>
        </w:rPr>
        <w:t>Ricardo García</w:t>
      </w:r>
      <w:r>
        <w:rPr>
          <w:rFonts w:ascii="Arial" w:hAnsi="Arial"/>
          <w:b/>
          <w:spacing w:val="-2"/>
          <w:sz w:val="20"/>
        </w:rPr>
        <w:t> </w:t>
      </w:r>
      <w:r>
        <w:rPr>
          <w:rFonts w:ascii="Arial" w:hAnsi="Arial"/>
          <w:b/>
          <w:sz w:val="20"/>
        </w:rPr>
        <w:t>Cervantes</w:t>
      </w:r>
      <w:r>
        <w:rPr>
          <w:sz w:val="20"/>
        </w:rPr>
        <w:t>, Presidente.- Sen.</w:t>
      </w:r>
      <w:r>
        <w:rPr>
          <w:spacing w:val="-1"/>
          <w:sz w:val="20"/>
        </w:rPr>
        <w:t> </w:t>
      </w:r>
      <w:r>
        <w:rPr>
          <w:rFonts w:ascii="Arial" w:hAnsi="Arial"/>
          <w:b/>
          <w:sz w:val="20"/>
        </w:rPr>
        <w:t>Enrique Jackson Ramírez</w:t>
      </w:r>
      <w:r>
        <w:rPr>
          <w:sz w:val="20"/>
        </w:rPr>
        <w:t>, Presidente.- Dip. </w:t>
      </w:r>
      <w:r>
        <w:rPr>
          <w:rFonts w:ascii="Arial" w:hAnsi="Arial"/>
          <w:b/>
          <w:sz w:val="20"/>
        </w:rPr>
        <w:t>Manuel Medellín Milán</w:t>
      </w:r>
      <w:r>
        <w:rPr>
          <w:sz w:val="20"/>
        </w:rPr>
        <w:t>, Secretario.- Sen. </w:t>
      </w:r>
      <w:r>
        <w:rPr>
          <w:rFonts w:ascii="Arial" w:hAnsi="Arial"/>
          <w:b/>
          <w:sz w:val="20"/>
        </w:rPr>
        <w:t>Sara Castellanos</w:t>
      </w:r>
      <w:r>
        <w:rPr>
          <w:rFonts w:ascii="Arial" w:hAnsi="Arial"/>
          <w:b/>
          <w:spacing w:val="40"/>
          <w:sz w:val="20"/>
        </w:rPr>
        <w:t> </w:t>
      </w:r>
      <w:r>
        <w:rPr>
          <w:rFonts w:ascii="Arial" w:hAnsi="Arial"/>
          <w:b/>
          <w:sz w:val="20"/>
        </w:rPr>
        <w:t>Cortés</w:t>
      </w:r>
      <w:r>
        <w:rPr>
          <w:sz w:val="20"/>
        </w:rPr>
        <w:t>, Secretaria.- Rúbricas.</w:t>
      </w:r>
      <w:r>
        <w:rPr>
          <w:rFonts w:ascii="Arial" w:hAnsi="Arial"/>
          <w:b/>
          <w:sz w:val="20"/>
        </w:rPr>
        <w:t>"</w:t>
      </w:r>
    </w:p>
    <w:p>
      <w:pPr>
        <w:pStyle w:val="BodyText"/>
        <w:spacing w:before="4"/>
        <w:rPr>
          <w:rFonts w:ascii="Arial"/>
          <w:b/>
        </w:rPr>
      </w:pPr>
    </w:p>
    <w:p>
      <w:pPr>
        <w:pStyle w:val="BodyText"/>
        <w:ind w:left="1"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veintinueve días</w:t>
      </w:r>
      <w:r>
        <w:rPr>
          <w:spacing w:val="40"/>
        </w:rPr>
        <w:t> </w:t>
      </w:r>
      <w:r>
        <w:rPr/>
        <w:t>del mes de diciembre de dos mil.-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left="0" w:right="2628"/>
      </w:pPr>
      <w:r>
        <w:rPr/>
        <w:t>DECRETO</w:t>
      </w:r>
      <w:r>
        <w:rPr>
          <w:spacing w:val="-6"/>
        </w:rPr>
        <w:t> </w:t>
      </w:r>
      <w:r>
        <w:rPr/>
        <w:t>por</w:t>
      </w:r>
      <w:r>
        <w:rPr>
          <w:spacing w:val="-5"/>
        </w:rPr>
        <w:t> </w:t>
      </w:r>
      <w:r>
        <w:rPr/>
        <w:t>el</w:t>
      </w:r>
      <w:r>
        <w:rPr>
          <w:spacing w:val="-4"/>
        </w:rPr>
        <w:t> </w:t>
      </w:r>
      <w:r>
        <w:rPr/>
        <w:t>que</w:t>
      </w:r>
      <w:r>
        <w:rPr>
          <w:spacing w:val="-7"/>
        </w:rPr>
        <w:t> </w:t>
      </w:r>
      <w:r>
        <w:rPr/>
        <w:t>se</w:t>
      </w:r>
      <w:r>
        <w:rPr>
          <w:spacing w:val="-6"/>
        </w:rPr>
        <w:t> </w:t>
      </w:r>
      <w:r>
        <w:rPr/>
        <w:t>reforman</w:t>
      </w:r>
      <w:r>
        <w:rPr>
          <w:spacing w:val="-8"/>
        </w:rPr>
        <w:t> </w:t>
      </w:r>
      <w:r>
        <w:rPr/>
        <w:t>diversas</w:t>
      </w:r>
      <w:r>
        <w:rPr>
          <w:spacing w:val="-6"/>
        </w:rPr>
        <w:t> </w:t>
      </w:r>
      <w:r>
        <w:rPr/>
        <w:t>disposiciones</w:t>
      </w:r>
      <w:r>
        <w:rPr>
          <w:spacing w:val="-7"/>
        </w:rPr>
        <w:t> </w:t>
      </w:r>
      <w:r>
        <w:rPr>
          <w:spacing w:val="-2"/>
        </w:rPr>
        <w:t>fiscales.</w:t>
      </w:r>
    </w:p>
    <w:p>
      <w:pPr>
        <w:spacing w:before="233"/>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2000</w:t>
      </w:r>
    </w:p>
    <w:p>
      <w:pPr>
        <w:pStyle w:val="BodyText"/>
        <w:spacing w:before="44"/>
        <w:rPr>
          <w:sz w:val="16"/>
        </w:rPr>
      </w:pPr>
    </w:p>
    <w:p>
      <w:pPr>
        <w:pStyle w:val="Heading2"/>
        <w:ind w:left="0" w:right="137"/>
      </w:pPr>
      <w:r>
        <w:rPr/>
        <w:t>Disposiciones</w:t>
      </w:r>
      <w:r>
        <w:rPr>
          <w:spacing w:val="-8"/>
        </w:rPr>
        <w:t> </w:t>
      </w:r>
      <w:r>
        <w:rPr/>
        <w:t>Transitorias</w:t>
      </w:r>
      <w:r>
        <w:rPr>
          <w:spacing w:val="-4"/>
        </w:rPr>
        <w:t> </w:t>
      </w:r>
      <w:r>
        <w:rPr/>
        <w:t>de</w:t>
      </w:r>
      <w:r>
        <w:rPr>
          <w:spacing w:val="-7"/>
        </w:rPr>
        <w:t> </w:t>
      </w:r>
      <w:r>
        <w:rPr/>
        <w:t>la</w:t>
      </w:r>
      <w:r>
        <w:rPr>
          <w:spacing w:val="-3"/>
        </w:rPr>
        <w:t> </w:t>
      </w:r>
      <w:r>
        <w:rPr/>
        <w:t>Ley</w:t>
      </w:r>
      <w:r>
        <w:rPr>
          <w:spacing w:val="-9"/>
        </w:rPr>
        <w:t> </w:t>
      </w:r>
      <w:r>
        <w:rPr/>
        <w:t>Orgánica</w:t>
      </w:r>
      <w:r>
        <w:rPr>
          <w:spacing w:val="-6"/>
        </w:rPr>
        <w:t> </w:t>
      </w:r>
      <w:r>
        <w:rPr/>
        <w:t>del</w:t>
      </w:r>
      <w:r>
        <w:rPr>
          <w:spacing w:val="-4"/>
        </w:rPr>
        <w:t> </w:t>
      </w:r>
      <w:r>
        <w:rPr/>
        <w:t>Tribunal</w:t>
      </w:r>
      <w:r>
        <w:rPr>
          <w:spacing w:val="-5"/>
        </w:rPr>
        <w:t> </w:t>
      </w:r>
      <w:r>
        <w:rPr/>
        <w:t>Fiscal</w:t>
      </w:r>
      <w:r>
        <w:rPr>
          <w:spacing w:val="-2"/>
        </w:rPr>
        <w:t> </w:t>
      </w:r>
      <w:r>
        <w:rPr/>
        <w:t>de</w:t>
      </w:r>
      <w:r>
        <w:rPr>
          <w:spacing w:val="-7"/>
        </w:rPr>
        <w:t> </w:t>
      </w:r>
      <w:r>
        <w:rPr/>
        <w:t>la</w:t>
      </w:r>
      <w:r>
        <w:rPr>
          <w:spacing w:val="-3"/>
        </w:rPr>
        <w:t> </w:t>
      </w:r>
      <w:r>
        <w:rPr>
          <w:spacing w:val="-2"/>
        </w:rPr>
        <w:t>Federación</w:t>
      </w:r>
    </w:p>
    <w:p>
      <w:pPr>
        <w:pStyle w:val="BodyText"/>
        <w:spacing w:line="242" w:lineRule="auto" w:before="231"/>
        <w:ind w:left="1" w:right="149" w:firstLine="288"/>
        <w:jc w:val="both"/>
      </w:pPr>
      <w:r>
        <w:rPr>
          <w:rFonts w:ascii="Arial" w:hAnsi="Arial"/>
          <w:b/>
        </w:rPr>
        <w:t>Artículo Décimo Primero. </w:t>
      </w:r>
      <w:r>
        <w:rPr/>
        <w:t>En relación con las modificaciones a que se refiere el Artículo Décimo de este Decreto, se estará a lo siguiente:</w:t>
      </w:r>
    </w:p>
    <w:p>
      <w:pPr>
        <w:pStyle w:val="ListParagraph"/>
        <w:numPr>
          <w:ilvl w:val="1"/>
          <w:numId w:val="19"/>
        </w:numPr>
        <w:tabs>
          <w:tab w:pos="719" w:val="left" w:leader="none"/>
          <w:tab w:pos="721" w:val="left" w:leader="none"/>
        </w:tabs>
        <w:spacing w:line="242" w:lineRule="auto" w:before="224" w:after="0"/>
        <w:ind w:left="721" w:right="144" w:hanging="432"/>
        <w:jc w:val="both"/>
        <w:rPr>
          <w:sz w:val="20"/>
        </w:rPr>
      </w:pPr>
      <w:r>
        <w:rPr>
          <w:sz w:val="20"/>
        </w:rPr>
        <w:t>La</w:t>
      </w:r>
      <w:r>
        <w:rPr>
          <w:spacing w:val="-1"/>
          <w:sz w:val="20"/>
        </w:rPr>
        <w:t> </w:t>
      </w:r>
      <w:r>
        <w:rPr>
          <w:sz w:val="20"/>
        </w:rPr>
        <w:t>reforma al</w:t>
      </w:r>
      <w:r>
        <w:rPr>
          <w:spacing w:val="-1"/>
          <w:sz w:val="20"/>
        </w:rPr>
        <w:t> </w:t>
      </w:r>
      <w:r>
        <w:rPr>
          <w:sz w:val="20"/>
        </w:rPr>
        <w:t>artículo 28 de la Ley</w:t>
      </w:r>
      <w:r>
        <w:rPr>
          <w:spacing w:val="-3"/>
          <w:sz w:val="20"/>
        </w:rPr>
        <w:t> </w:t>
      </w:r>
      <w:r>
        <w:rPr>
          <w:sz w:val="20"/>
        </w:rPr>
        <w:t>Orgánica del Tribunal Fiscal de la Federación, entrará en vigor el 1o. de febrero de 2001.</w:t>
      </w:r>
    </w:p>
    <w:p>
      <w:pPr>
        <w:pStyle w:val="ListParagraph"/>
        <w:numPr>
          <w:ilvl w:val="1"/>
          <w:numId w:val="19"/>
        </w:numPr>
        <w:tabs>
          <w:tab w:pos="718" w:val="left" w:leader="none"/>
          <w:tab w:pos="721" w:val="left" w:leader="none"/>
        </w:tabs>
        <w:spacing w:line="240" w:lineRule="auto" w:before="228" w:after="0"/>
        <w:ind w:left="721" w:right="141" w:hanging="432"/>
        <w:jc w:val="both"/>
        <w:rPr>
          <w:sz w:val="20"/>
        </w:rPr>
      </w:pPr>
      <w:r>
        <w:rPr>
          <w:sz w:val="20"/>
        </w:rPr>
        <w:t>Para los efectos del artículo 31 de la Ley Orgánica del Tribunal Fiscal de la Federación, las demandas presentadas antes del 1o. de enero de 2001, serán competencia de la Sala Regional que corresponda, de conformidad con el citado artículo 31, vigente hasta el 31 de diciembre de </w:t>
      </w:r>
      <w:r>
        <w:rPr>
          <w:spacing w:val="-2"/>
          <w:sz w:val="20"/>
        </w:rPr>
        <w:t>2000.</w:t>
      </w:r>
    </w:p>
    <w:p>
      <w:pPr>
        <w:pStyle w:val="ListParagraph"/>
        <w:numPr>
          <w:ilvl w:val="1"/>
          <w:numId w:val="19"/>
        </w:numPr>
        <w:tabs>
          <w:tab w:pos="717" w:val="left" w:leader="none"/>
          <w:tab w:pos="721" w:val="left" w:leader="none"/>
        </w:tabs>
        <w:spacing w:line="240" w:lineRule="auto" w:before="229" w:after="0"/>
        <w:ind w:left="721" w:right="145" w:hanging="432"/>
        <w:jc w:val="both"/>
        <w:rPr>
          <w:sz w:val="20"/>
        </w:rPr>
      </w:pPr>
      <w:r>
        <w:rPr>
          <w:sz w:val="20"/>
        </w:rPr>
        <w:t>Se reforma la denominación del Tribunal Fiscal de la Federación por la de Tribunal Federal de Justicia Fiscal y Administrativa. En consecuencia, se reforma la Ley Orgánica del Tribunal Fiscal de la Federación tanto en su título como en sus disposiciones, así como en todas aquellas contenidas en el Código Fiscal de la Federación y en las demás leyes fiscales y administrativas federales, en las que se cite al Tribunal Fiscal de la Federación, para sustituir ese nombre por el de Tribunal Federal de Justicia Fiscal y Administrativa.</w:t>
      </w:r>
    </w:p>
    <w:p>
      <w:pPr>
        <w:pStyle w:val="Heading2"/>
        <w:spacing w:before="229"/>
        <w:ind w:left="1156" w:right="1293"/>
      </w:pPr>
      <w:r>
        <w:rPr>
          <w:spacing w:val="-2"/>
        </w:rPr>
        <w:t>Transitorios</w:t>
      </w:r>
    </w:p>
    <w:p>
      <w:pPr>
        <w:pStyle w:val="BodyText"/>
        <w:spacing w:before="232"/>
        <w:ind w:right="2660"/>
        <w:jc w:val="center"/>
      </w:pPr>
      <w:r>
        <w:rPr>
          <w:rFonts w:ascii="Arial" w:hAnsi="Arial"/>
          <w:b/>
        </w:rPr>
        <w:t>Primero.</w:t>
      </w:r>
      <w:r>
        <w:rPr>
          <w:rFonts w:ascii="Arial" w:hAnsi="Arial"/>
          <w:b/>
          <w:spacing w:val="-4"/>
        </w:rPr>
        <w:t> </w:t>
      </w:r>
      <w:r>
        <w:rPr/>
        <w:t>El</w:t>
      </w:r>
      <w:r>
        <w:rPr>
          <w:spacing w:val="-4"/>
        </w:rPr>
        <w:t> </w:t>
      </w:r>
      <w:r>
        <w:rPr/>
        <w:t>presente</w:t>
      </w:r>
      <w:r>
        <w:rPr>
          <w:spacing w:val="-7"/>
        </w:rPr>
        <w:t> </w:t>
      </w:r>
      <w:r>
        <w:rPr/>
        <w:t>Decreto</w:t>
      </w:r>
      <w:r>
        <w:rPr>
          <w:spacing w:val="-7"/>
        </w:rPr>
        <w:t> </w:t>
      </w:r>
      <w:r>
        <w:rPr/>
        <w:t>entrará</w:t>
      </w:r>
      <w:r>
        <w:rPr>
          <w:spacing w:val="-4"/>
        </w:rPr>
        <w:t> </w:t>
      </w:r>
      <w:r>
        <w:rPr/>
        <w:t>en</w:t>
      </w:r>
      <w:r>
        <w:rPr>
          <w:spacing w:val="-4"/>
        </w:rPr>
        <w:t> </w:t>
      </w:r>
      <w:r>
        <w:rPr/>
        <w:t>vigor</w:t>
      </w:r>
      <w:r>
        <w:rPr>
          <w:spacing w:val="-5"/>
        </w:rPr>
        <w:t> </w:t>
      </w:r>
      <w:r>
        <w:rPr/>
        <w:t>el</w:t>
      </w:r>
      <w:r>
        <w:rPr>
          <w:spacing w:val="-7"/>
        </w:rPr>
        <w:t> </w:t>
      </w:r>
      <w:r>
        <w:rPr/>
        <w:t>1o.</w:t>
      </w:r>
      <w:r>
        <w:rPr>
          <w:spacing w:val="-6"/>
        </w:rPr>
        <w:t> </w:t>
      </w:r>
      <w:r>
        <w:rPr/>
        <w:t>de</w:t>
      </w:r>
      <w:r>
        <w:rPr>
          <w:spacing w:val="-5"/>
        </w:rPr>
        <w:t> </w:t>
      </w:r>
      <w:r>
        <w:rPr/>
        <w:t>enero</w:t>
      </w:r>
      <w:r>
        <w:rPr>
          <w:spacing w:val="-6"/>
        </w:rPr>
        <w:t> </w:t>
      </w:r>
      <w:r>
        <w:rPr/>
        <w:t>de</w:t>
      </w:r>
      <w:r>
        <w:rPr>
          <w:spacing w:val="-6"/>
        </w:rPr>
        <w:t> </w:t>
      </w:r>
      <w:r>
        <w:rPr>
          <w:spacing w:val="-2"/>
        </w:rPr>
        <w:t>2001.</w:t>
      </w:r>
    </w:p>
    <w:p>
      <w:pPr>
        <w:pStyle w:val="BodyText"/>
      </w:pPr>
    </w:p>
    <w:p>
      <w:pPr>
        <w:pStyle w:val="BodyText"/>
        <w:ind w:left="1" w:right="142" w:firstLine="288"/>
        <w:jc w:val="both"/>
      </w:pPr>
      <w:r>
        <w:rPr>
          <w:rFonts w:ascii="Arial" w:hAnsi="Arial"/>
          <w:b/>
        </w:rPr>
        <w:t>Segundo. </w:t>
      </w:r>
      <w:r>
        <w:rPr/>
        <w:t>Las menciones hechas en el presente Decreto a las Secretarías cuyas denominaciones se modificaron por efectos del Decreto publicado en el </w:t>
      </w:r>
      <w:r>
        <w:rPr>
          <w:rFonts w:ascii="Arial" w:hAnsi="Arial"/>
          <w:b/>
        </w:rPr>
        <w:t>Diario Oficial de la Federación </w:t>
      </w:r>
      <w:r>
        <w:rPr/>
        <w:t>el jueves 30 de noviembre de</w:t>
      </w:r>
      <w:r>
        <w:rPr>
          <w:spacing w:val="-1"/>
        </w:rPr>
        <w:t> </w:t>
      </w:r>
      <w:r>
        <w:rPr/>
        <w:t>2000, mediante el</w:t>
      </w:r>
      <w:r>
        <w:rPr>
          <w:spacing w:val="-1"/>
        </w:rPr>
        <w:t> </w:t>
      </w:r>
      <w:r>
        <w:rPr/>
        <w:t>cual</w:t>
      </w:r>
      <w:r>
        <w:rPr>
          <w:spacing w:val="-1"/>
        </w:rPr>
        <w:t> </w:t>
      </w:r>
      <w:r>
        <w:rPr/>
        <w:t>se reformó la Ley</w:t>
      </w:r>
      <w:r>
        <w:rPr>
          <w:spacing w:val="-1"/>
        </w:rPr>
        <w:t> </w:t>
      </w:r>
      <w:r>
        <w:rPr/>
        <w:t>Orgánica de la Administración Pública Federal, se entenderán conforme a la denominación que para cada una se estableció en este último.</w:t>
      </w:r>
    </w:p>
    <w:p>
      <w:pPr>
        <w:pStyle w:val="BodyText"/>
      </w:pPr>
    </w:p>
    <w:p>
      <w:pPr>
        <w:spacing w:before="0"/>
        <w:ind w:left="1" w:right="141" w:firstLine="288"/>
        <w:jc w:val="both"/>
        <w:rPr>
          <w:sz w:val="20"/>
        </w:rPr>
      </w:pPr>
      <w:r>
        <w:rPr>
          <w:sz w:val="20"/>
        </w:rPr>
        <w:t>México, D.F., a</w:t>
      </w:r>
      <w:r>
        <w:rPr>
          <w:spacing w:val="-1"/>
          <w:sz w:val="20"/>
        </w:rPr>
        <w:t> </w:t>
      </w:r>
      <w:r>
        <w:rPr>
          <w:sz w:val="20"/>
        </w:rPr>
        <w:t>28 de diciembre</w:t>
      </w:r>
      <w:r>
        <w:rPr>
          <w:spacing w:val="-1"/>
          <w:sz w:val="20"/>
        </w:rPr>
        <w:t> </w:t>
      </w:r>
      <w:r>
        <w:rPr>
          <w:sz w:val="20"/>
        </w:rPr>
        <w:t>de</w:t>
      </w:r>
      <w:r>
        <w:rPr>
          <w:spacing w:val="-2"/>
          <w:sz w:val="20"/>
        </w:rPr>
        <w:t> </w:t>
      </w:r>
      <w:r>
        <w:rPr>
          <w:sz w:val="20"/>
        </w:rPr>
        <w:t>2000.- Sen. </w:t>
      </w:r>
      <w:r>
        <w:rPr>
          <w:rFonts w:ascii="Arial" w:hAnsi="Arial"/>
          <w:b/>
          <w:sz w:val="20"/>
        </w:rPr>
        <w:t>Enrique</w:t>
      </w:r>
      <w:r>
        <w:rPr>
          <w:rFonts w:ascii="Arial" w:hAnsi="Arial"/>
          <w:b/>
          <w:spacing w:val="-1"/>
          <w:sz w:val="20"/>
        </w:rPr>
        <w:t> </w:t>
      </w:r>
      <w:r>
        <w:rPr>
          <w:rFonts w:ascii="Arial" w:hAnsi="Arial"/>
          <w:b/>
          <w:sz w:val="20"/>
        </w:rPr>
        <w:t>Jackson Ramírez</w:t>
      </w:r>
      <w:r>
        <w:rPr>
          <w:sz w:val="20"/>
        </w:rPr>
        <w:t>, Presidente.- Dip. </w:t>
      </w:r>
      <w:r>
        <w:rPr>
          <w:rFonts w:ascii="Arial" w:hAnsi="Arial"/>
          <w:b/>
          <w:sz w:val="20"/>
        </w:rPr>
        <w:t>Ricardo Francisco García Cervantes</w:t>
      </w:r>
      <w:r>
        <w:rPr>
          <w:sz w:val="20"/>
        </w:rPr>
        <w:t>, Presidente.- Sen. </w:t>
      </w:r>
      <w:r>
        <w:rPr>
          <w:rFonts w:ascii="Arial" w:hAnsi="Arial"/>
          <w:b/>
          <w:sz w:val="20"/>
        </w:rPr>
        <w:t>Yolanda González Hernández</w:t>
      </w:r>
      <w:r>
        <w:rPr>
          <w:sz w:val="20"/>
        </w:rPr>
        <w:t>, Secretario.- Dip.</w:t>
      </w:r>
      <w:r>
        <w:rPr>
          <w:spacing w:val="40"/>
          <w:sz w:val="20"/>
        </w:rPr>
        <w:t> </w:t>
      </w:r>
      <w:r>
        <w:rPr>
          <w:rFonts w:ascii="Arial" w:hAnsi="Arial"/>
          <w:b/>
          <w:sz w:val="20"/>
        </w:rPr>
        <w:t>Manuel Medellín Milán</w:t>
      </w:r>
      <w:r>
        <w:rPr>
          <w:sz w:val="20"/>
        </w:rPr>
        <w:t>, Secretario.- Rúbricas</w:t>
      </w:r>
      <w:r>
        <w:rPr>
          <w:rFonts w:ascii="Arial" w:hAnsi="Arial"/>
          <w:b/>
          <w:sz w:val="20"/>
        </w:rPr>
        <w:t>"</w:t>
      </w:r>
      <w:r>
        <w:rPr>
          <w:sz w:val="20"/>
        </w:rPr>
        <w:t>.</w:t>
      </w:r>
    </w:p>
    <w:p>
      <w:pPr>
        <w:pStyle w:val="BodyText"/>
        <w:spacing w:before="2"/>
      </w:pPr>
    </w:p>
    <w:p>
      <w:pPr>
        <w:pStyle w:val="BodyText"/>
        <w:ind w:left="1" w:right="14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veintinueve días</w:t>
      </w:r>
      <w:r>
        <w:rPr>
          <w:spacing w:val="40"/>
        </w:rPr>
        <w:t> </w:t>
      </w:r>
      <w:r>
        <w:rPr/>
        <w:t>del mes de diciembre de dos mil.-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expide la Ley Federal de Responsabilidades Administrativas de los Servidores Públicos, y se reforman la Ley Orgánica de la Administración Pública Federal y la Ley de Coordinación Fiscal.</w:t>
      </w:r>
    </w:p>
    <w:p>
      <w:pPr>
        <w:spacing w:before="233"/>
        <w:ind w:left="1156" w:right="129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 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2002</w:t>
      </w:r>
    </w:p>
    <w:p>
      <w:pPr>
        <w:pStyle w:val="BodyText"/>
        <w:spacing w:before="44"/>
        <w:rPr>
          <w:sz w:val="16"/>
        </w:rPr>
      </w:pPr>
    </w:p>
    <w:p>
      <w:pPr>
        <w:pStyle w:val="BodyText"/>
        <w:spacing w:line="242" w:lineRule="auto"/>
        <w:ind w:left="1" w:right="153" w:firstLine="288"/>
      </w:pPr>
      <w:r>
        <w:rPr>
          <w:rFonts w:ascii="Arial" w:hAnsi="Arial"/>
          <w:b/>
        </w:rPr>
        <w:t>ARTICULO TERCERO.-</w:t>
      </w:r>
      <w:r>
        <w:rPr>
          <w:rFonts w:ascii="Arial" w:hAnsi="Arial"/>
          <w:b/>
          <w:spacing w:val="23"/>
        </w:rPr>
        <w:t> </w:t>
      </w:r>
      <w:r>
        <w:rPr/>
        <w:t>Se reforma el artículo</w:t>
      </w:r>
      <w:r>
        <w:rPr>
          <w:spacing w:val="22"/>
        </w:rPr>
        <w:t> </w:t>
      </w:r>
      <w:r>
        <w:rPr/>
        <w:t>46,</w:t>
      </w:r>
      <w:r>
        <w:rPr>
          <w:spacing w:val="22"/>
        </w:rPr>
        <w:t> </w:t>
      </w:r>
      <w:r>
        <w:rPr/>
        <w:t>último párrafo de la Ley de</w:t>
      </w:r>
      <w:r>
        <w:rPr>
          <w:spacing w:val="22"/>
        </w:rPr>
        <w:t> </w:t>
      </w:r>
      <w:r>
        <w:rPr/>
        <w:t>Coordinación Fiscal, para quedar como sigue:</w:t>
      </w:r>
    </w:p>
    <w:p>
      <w:pPr>
        <w:spacing w:before="229"/>
        <w:ind w:left="289" w:right="0" w:firstLine="0"/>
        <w:jc w:val="left"/>
        <w:rPr>
          <w:sz w:val="20"/>
        </w:rPr>
      </w:pPr>
      <w:r>
        <w:rPr>
          <w:spacing w:val="-2"/>
          <w:sz w:val="20"/>
        </w:rPr>
        <w:t>..........</w:t>
      </w:r>
    </w:p>
    <w:p>
      <w:pPr>
        <w:pStyle w:val="Heading1"/>
        <w:spacing w:before="227"/>
      </w:pPr>
      <w:r>
        <w:rPr>
          <w:spacing w:val="-2"/>
        </w:rPr>
        <w:t>TRANSITORIOS</w:t>
      </w:r>
    </w:p>
    <w:p>
      <w:pPr>
        <w:pStyle w:val="BodyText"/>
        <w:spacing w:before="1"/>
        <w:rPr>
          <w:rFonts w:ascii="Arial"/>
          <w:b/>
        </w:rPr>
      </w:pPr>
    </w:p>
    <w:p>
      <w:pPr>
        <w:spacing w:before="0"/>
        <w:ind w:left="1" w:right="142" w:firstLine="288"/>
        <w:jc w:val="both"/>
        <w:rPr>
          <w:sz w:val="20"/>
        </w:rPr>
      </w:pPr>
      <w:r>
        <w:rPr>
          <w:rFonts w:ascii="Arial" w:hAnsi="Arial"/>
          <w:b/>
          <w:sz w:val="20"/>
        </w:rPr>
        <w:t>Artículo Primero.- </w:t>
      </w:r>
      <w:r>
        <w:rPr>
          <w:sz w:val="20"/>
        </w:rPr>
        <w:t>El</w:t>
      </w:r>
      <w:r>
        <w:rPr>
          <w:spacing w:val="-2"/>
          <w:sz w:val="20"/>
        </w:rPr>
        <w:t> </w:t>
      </w:r>
      <w:r>
        <w:rPr>
          <w:sz w:val="20"/>
        </w:rPr>
        <w:t>presente</w:t>
      </w:r>
      <w:r>
        <w:rPr>
          <w:spacing w:val="-1"/>
          <w:sz w:val="20"/>
        </w:rPr>
        <w:t> </w:t>
      </w:r>
      <w:r>
        <w:rPr>
          <w:sz w:val="20"/>
        </w:rPr>
        <w:t>Decreto entrará en vigor al</w:t>
      </w:r>
      <w:r>
        <w:rPr>
          <w:spacing w:val="-2"/>
          <w:sz w:val="20"/>
        </w:rPr>
        <w:t> </w:t>
      </w:r>
      <w:r>
        <w:rPr>
          <w:sz w:val="20"/>
        </w:rPr>
        <w:t>día</w:t>
      </w:r>
      <w:r>
        <w:rPr>
          <w:spacing w:val="-1"/>
          <w:sz w:val="20"/>
        </w:rPr>
        <w:t> </w:t>
      </w:r>
      <w:r>
        <w:rPr>
          <w:sz w:val="20"/>
        </w:rPr>
        <w:t>siguiente</w:t>
      </w:r>
      <w:r>
        <w:rPr>
          <w:spacing w:val="-1"/>
          <w:sz w:val="20"/>
        </w:rPr>
        <w:t> </w:t>
      </w:r>
      <w:r>
        <w:rPr>
          <w:sz w:val="20"/>
        </w:rPr>
        <w:t>de su</w:t>
      </w:r>
      <w:r>
        <w:rPr>
          <w:spacing w:val="-1"/>
          <w:sz w:val="20"/>
        </w:rPr>
        <w:t> </w:t>
      </w:r>
      <w:r>
        <w:rPr>
          <w:sz w:val="20"/>
        </w:rPr>
        <w:t>publicación en</w:t>
      </w:r>
      <w:r>
        <w:rPr>
          <w:spacing w:val="-2"/>
          <w:sz w:val="20"/>
        </w:rPr>
        <w:t> </w:t>
      </w:r>
      <w:r>
        <w:rPr>
          <w:sz w:val="20"/>
        </w:rPr>
        <w:t>el </w:t>
      </w:r>
      <w:r>
        <w:rPr>
          <w:rFonts w:ascii="Arial" w:hAnsi="Arial"/>
          <w:b/>
          <w:sz w:val="20"/>
        </w:rPr>
        <w:t>Diario Oficial de la Federación</w:t>
      </w:r>
      <w:r>
        <w:rPr>
          <w:sz w:val="20"/>
        </w:rPr>
        <w:t>.</w:t>
      </w:r>
    </w:p>
    <w:p>
      <w:pPr>
        <w:pStyle w:val="BodyText"/>
        <w:spacing w:line="242" w:lineRule="auto" w:before="229"/>
        <w:ind w:left="1" w:right="152" w:firstLine="288"/>
        <w:jc w:val="both"/>
      </w:pPr>
      <w:r>
        <w:rPr>
          <w:rFonts w:ascii="Arial" w:hAnsi="Arial"/>
          <w:b/>
        </w:rPr>
        <w:t>Artículo Segundo.- </w:t>
      </w:r>
      <w:r>
        <w:rPr/>
        <w:t>Se derogan todas aquellas disposiciones que se opongan a lo establecido en el presente ordenamiento.</w:t>
      </w:r>
    </w:p>
    <w:p>
      <w:pPr>
        <w:pStyle w:val="BodyText"/>
        <w:spacing w:before="227"/>
        <w:ind w:left="1" w:right="144" w:firstLine="288"/>
        <w:jc w:val="both"/>
      </w:pPr>
      <w:r>
        <w:rPr>
          <w:rFonts w:ascii="Arial" w:hAnsi="Arial"/>
          <w:b/>
        </w:rPr>
        <w:t>Artículo Tercero.- </w:t>
      </w:r>
      <w:r>
        <w:rPr/>
        <w:t>En relación con la reforma a que se refiere el ARTICULO TERCERO del presente Decreto, los asuntos relativos a las responsabilidades administrativas, civiles y penales en que hubieren incurrido las autoridades locales o municipales, con motivo de la desviación de recursos federales recibidos y que se encuentren en trámite o pendientes de resolución, deberán sustanciarse de conformidad con las disposiciones vigentes al momento en que se cometió la irregularidad.</w:t>
      </w:r>
    </w:p>
    <w:p>
      <w:pPr>
        <w:pStyle w:val="BodyText"/>
      </w:pPr>
    </w:p>
    <w:p>
      <w:pPr>
        <w:spacing w:before="0"/>
        <w:ind w:left="1" w:right="141" w:firstLine="288"/>
        <w:jc w:val="both"/>
        <w:rPr>
          <w:sz w:val="20"/>
        </w:rPr>
      </w:pPr>
      <w:r>
        <w:rPr>
          <w:sz w:val="20"/>
        </w:rPr>
        <w:t>México, D.F., a 15 de diciembre de 2001.- Dip. </w:t>
      </w:r>
      <w:r>
        <w:rPr>
          <w:rFonts w:ascii="Arial" w:hAnsi="Arial"/>
          <w:b/>
          <w:sz w:val="20"/>
        </w:rPr>
        <w:t>Beatriz Elena Paredes Rangel</w:t>
      </w:r>
      <w:r>
        <w:rPr>
          <w:sz w:val="20"/>
        </w:rPr>
        <w:t>, Presidenta.- Sen. </w:t>
      </w:r>
      <w:r>
        <w:rPr>
          <w:rFonts w:ascii="Arial" w:hAnsi="Arial"/>
          <w:b/>
          <w:sz w:val="20"/>
        </w:rPr>
        <w:t>Diego Fernández de Cevallos Ramos</w:t>
      </w:r>
      <w:r>
        <w:rPr>
          <w:sz w:val="20"/>
        </w:rPr>
        <w:t>, Presidente.- Dip. </w:t>
      </w:r>
      <w:r>
        <w:rPr>
          <w:rFonts w:ascii="Arial" w:hAnsi="Arial"/>
          <w:b/>
          <w:sz w:val="20"/>
        </w:rPr>
        <w:t>Adrián Rivera Pérez</w:t>
      </w:r>
      <w:r>
        <w:rPr>
          <w:sz w:val="20"/>
        </w:rPr>
        <w:t>, Secretario.- Sen. </w:t>
      </w:r>
      <w:r>
        <w:rPr>
          <w:rFonts w:ascii="Arial" w:hAnsi="Arial"/>
          <w:b/>
          <w:sz w:val="20"/>
        </w:rPr>
        <w:t>María Lucero Saldaña Pérez</w:t>
      </w:r>
      <w:r>
        <w:rPr>
          <w:sz w:val="20"/>
        </w:rPr>
        <w:t>, Secretaria.- Rúbricas</w:t>
      </w:r>
      <w:r>
        <w:rPr>
          <w:rFonts w:ascii="Arial" w:hAnsi="Arial"/>
          <w:b/>
          <w:sz w:val="20"/>
        </w:rPr>
        <w:t>"</w:t>
      </w:r>
      <w:r>
        <w:rPr>
          <w:sz w:val="20"/>
        </w:rPr>
        <w:t>.</w:t>
      </w:r>
    </w:p>
    <w:p>
      <w:pPr>
        <w:pStyle w:val="BodyText"/>
        <w:spacing w:before="2"/>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doce</w:t>
      </w:r>
      <w:r>
        <w:rPr>
          <w:spacing w:val="-1"/>
        </w:rPr>
        <w:t> </w:t>
      </w:r>
      <w:r>
        <w:rPr/>
        <w:t>días del</w:t>
      </w:r>
      <w:r>
        <w:rPr>
          <w:spacing w:val="-2"/>
        </w:rPr>
        <w:t> </w:t>
      </w:r>
      <w:r>
        <w:rPr/>
        <w:t>mes de marzo de dos mil dos.-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left="0" w:right="219"/>
      </w:pPr>
      <w:r>
        <w:rPr/>
        <w:t>DECRETO</w:t>
      </w:r>
      <w:r>
        <w:rPr>
          <w:spacing w:val="-3"/>
        </w:rPr>
        <w:t> </w:t>
      </w:r>
      <w:r>
        <w:rPr/>
        <w:t>por</w:t>
      </w:r>
      <w:r>
        <w:rPr>
          <w:spacing w:val="-2"/>
        </w:rPr>
        <w:t> </w:t>
      </w:r>
      <w:r>
        <w:rPr/>
        <w:t>el</w:t>
      </w:r>
      <w:r>
        <w:rPr>
          <w:spacing w:val="-1"/>
        </w:rPr>
        <w:t> </w:t>
      </w:r>
      <w:r>
        <w:rPr/>
        <w:t>que</w:t>
      </w:r>
      <w:r>
        <w:rPr>
          <w:spacing w:val="-4"/>
        </w:rPr>
        <w:t> </w:t>
      </w:r>
      <w:r>
        <w:rPr/>
        <w:t>se</w:t>
      </w:r>
      <w:r>
        <w:rPr>
          <w:spacing w:val="-3"/>
        </w:rPr>
        <w:t> </w:t>
      </w:r>
      <w:r>
        <w:rPr/>
        <w:t>reforman</w:t>
      </w:r>
      <w:r>
        <w:rPr>
          <w:spacing w:val="-6"/>
        </w:rPr>
        <w:t> </w:t>
      </w:r>
      <w:r>
        <w:rPr/>
        <w:t>los</w:t>
      </w:r>
      <w:r>
        <w:rPr>
          <w:spacing w:val="-5"/>
        </w:rPr>
        <w:t> </w:t>
      </w:r>
      <w:r>
        <w:rPr/>
        <w:t>artículos</w:t>
      </w:r>
      <w:r>
        <w:rPr>
          <w:spacing w:val="-3"/>
        </w:rPr>
        <w:t> </w:t>
      </w:r>
      <w:r>
        <w:rPr/>
        <w:t>3,</w:t>
      </w:r>
      <w:r>
        <w:rPr>
          <w:spacing w:val="-3"/>
        </w:rPr>
        <w:t> </w:t>
      </w:r>
      <w:r>
        <w:rPr/>
        <w:t>6</w:t>
      </w:r>
      <w:r>
        <w:rPr>
          <w:spacing w:val="-2"/>
        </w:rPr>
        <w:t> </w:t>
      </w:r>
      <w:r>
        <w:rPr/>
        <w:t>y</w:t>
      </w:r>
      <w:r>
        <w:rPr>
          <w:spacing w:val="-7"/>
        </w:rPr>
        <w:t> </w:t>
      </w:r>
      <w:r>
        <w:rPr/>
        <w:t>36</w:t>
      </w:r>
      <w:r>
        <w:rPr>
          <w:spacing w:val="-2"/>
        </w:rPr>
        <w:t> </w:t>
      </w:r>
      <w:r>
        <w:rPr/>
        <w:t>de</w:t>
      </w:r>
      <w:r>
        <w:rPr>
          <w:spacing w:val="-3"/>
        </w:rPr>
        <w:t> </w:t>
      </w:r>
      <w:r>
        <w:rPr/>
        <w:t>la</w:t>
      </w:r>
      <w:r>
        <w:rPr>
          <w:spacing w:val="-5"/>
        </w:rPr>
        <w:t> </w:t>
      </w:r>
      <w:r>
        <w:rPr/>
        <w:t>Ley</w:t>
      </w:r>
      <w:r>
        <w:rPr>
          <w:spacing w:val="-6"/>
        </w:rPr>
        <w:t> </w:t>
      </w:r>
      <w:r>
        <w:rPr/>
        <w:t>de</w:t>
      </w:r>
      <w:r>
        <w:rPr>
          <w:spacing w:val="-3"/>
        </w:rPr>
        <w:t> </w:t>
      </w:r>
      <w:r>
        <w:rPr/>
        <w:t>Coordinación</w:t>
      </w:r>
      <w:r>
        <w:rPr>
          <w:spacing w:val="-4"/>
        </w:rPr>
        <w:t> </w:t>
      </w:r>
      <w:r>
        <w:rPr>
          <w:spacing w:val="-2"/>
        </w:rPr>
        <w:t>Fiscal.</w:t>
      </w:r>
    </w:p>
    <w:p>
      <w:pPr>
        <w:spacing w:before="233"/>
        <w:ind w:left="1156" w:right="129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2003</w:t>
      </w:r>
    </w:p>
    <w:p>
      <w:pPr>
        <w:pStyle w:val="BodyText"/>
        <w:spacing w:before="45"/>
        <w:rPr>
          <w:sz w:val="16"/>
        </w:rPr>
      </w:pPr>
    </w:p>
    <w:p>
      <w:pPr>
        <w:pStyle w:val="BodyText"/>
        <w:spacing w:before="1"/>
        <w:ind w:left="1" w:firstLine="288"/>
      </w:pPr>
      <w:r>
        <w:rPr>
          <w:rFonts w:ascii="Arial" w:hAnsi="Arial"/>
          <w:b/>
        </w:rPr>
        <w:t>ARTÍCULO</w:t>
      </w:r>
      <w:r>
        <w:rPr>
          <w:rFonts w:ascii="Arial" w:hAnsi="Arial"/>
          <w:b/>
          <w:spacing w:val="-2"/>
        </w:rPr>
        <w:t> </w:t>
      </w:r>
      <w:r>
        <w:rPr>
          <w:rFonts w:ascii="Arial" w:hAnsi="Arial"/>
          <w:b/>
        </w:rPr>
        <w:t>ÚNICO.- </w:t>
      </w:r>
      <w:r>
        <w:rPr/>
        <w:t>Se</w:t>
      </w:r>
      <w:r>
        <w:rPr>
          <w:spacing w:val="-3"/>
        </w:rPr>
        <w:t> </w:t>
      </w:r>
      <w:r>
        <w:rPr/>
        <w:t>reforman</w:t>
      </w:r>
      <w:r>
        <w:rPr>
          <w:spacing w:val="-4"/>
        </w:rPr>
        <w:t> </w:t>
      </w:r>
      <w:r>
        <w:rPr/>
        <w:t>los</w:t>
      </w:r>
      <w:r>
        <w:rPr>
          <w:spacing w:val="-2"/>
        </w:rPr>
        <w:t> </w:t>
      </w:r>
      <w:r>
        <w:rPr/>
        <w:t>artículos 3,</w:t>
      </w:r>
      <w:r>
        <w:rPr>
          <w:spacing w:val="-1"/>
        </w:rPr>
        <w:t> </w:t>
      </w:r>
      <w:r>
        <w:rPr/>
        <w:t>6, y</w:t>
      </w:r>
      <w:r>
        <w:rPr>
          <w:spacing w:val="-4"/>
        </w:rPr>
        <w:t> </w:t>
      </w:r>
      <w:r>
        <w:rPr/>
        <w:t>36</w:t>
      </w:r>
      <w:r>
        <w:rPr>
          <w:spacing w:val="-1"/>
        </w:rPr>
        <w:t> </w:t>
      </w:r>
      <w:r>
        <w:rPr/>
        <w:t>de</w:t>
      </w:r>
      <w:r>
        <w:rPr>
          <w:spacing w:val="-2"/>
        </w:rPr>
        <w:t> </w:t>
      </w:r>
      <w:r>
        <w:rPr/>
        <w:t>la</w:t>
      </w:r>
      <w:r>
        <w:rPr>
          <w:spacing w:val="-1"/>
        </w:rPr>
        <w:t> </w:t>
      </w:r>
      <w:r>
        <w:rPr/>
        <w:t>Ley</w:t>
      </w:r>
      <w:r>
        <w:rPr>
          <w:spacing w:val="-4"/>
        </w:rPr>
        <w:t> </w:t>
      </w:r>
      <w:r>
        <w:rPr/>
        <w:t>de</w:t>
      </w:r>
      <w:r>
        <w:rPr>
          <w:spacing w:val="-1"/>
        </w:rPr>
        <w:t> </w:t>
      </w:r>
      <w:r>
        <w:rPr/>
        <w:t>Coordinación</w:t>
      </w:r>
      <w:r>
        <w:rPr>
          <w:spacing w:val="-4"/>
        </w:rPr>
        <w:t> </w:t>
      </w:r>
      <w:r>
        <w:rPr/>
        <w:t>Fiscal</w:t>
      </w:r>
      <w:r>
        <w:rPr>
          <w:spacing w:val="-2"/>
        </w:rPr>
        <w:t> </w:t>
      </w:r>
      <w:r>
        <w:rPr/>
        <w:t>para</w:t>
      </w:r>
      <w:r>
        <w:rPr>
          <w:spacing w:val="-1"/>
        </w:rPr>
        <w:t> </w:t>
      </w:r>
      <w:r>
        <w:rPr/>
        <w:t>quedar de la siguiente forma:</w:t>
      </w:r>
    </w:p>
    <w:p>
      <w:pPr>
        <w:pStyle w:val="BodyText"/>
        <w:spacing w:before="1"/>
      </w:pPr>
    </w:p>
    <w:p>
      <w:pPr>
        <w:spacing w:before="0"/>
        <w:ind w:left="289" w:right="0" w:firstLine="0"/>
        <w:jc w:val="left"/>
        <w:rPr>
          <w:sz w:val="20"/>
        </w:rPr>
      </w:pPr>
      <w:r>
        <w:rPr>
          <w:spacing w:val="-2"/>
          <w:sz w:val="20"/>
        </w:rPr>
        <w:t>...........</w:t>
      </w:r>
    </w:p>
    <w:p>
      <w:pPr>
        <w:pStyle w:val="Heading1"/>
        <w:ind w:left="147" w:right="0"/>
      </w:pPr>
      <w:r>
        <w:rPr>
          <w:spacing w:val="-2"/>
        </w:rPr>
        <w:t>TRANSITORIOS</w:t>
      </w:r>
    </w:p>
    <w:p>
      <w:pPr>
        <w:pStyle w:val="BodyText"/>
        <w:spacing w:before="2"/>
        <w:rPr>
          <w:rFonts w:ascii="Arial"/>
          <w:b/>
        </w:rPr>
      </w:pPr>
    </w:p>
    <w:p>
      <w:pPr>
        <w:spacing w:before="0"/>
        <w:ind w:left="1" w:right="142" w:firstLine="288"/>
        <w:jc w:val="both"/>
        <w:rPr>
          <w:sz w:val="20"/>
        </w:rPr>
      </w:pPr>
      <w:r>
        <w:rPr>
          <w:rFonts w:ascii="Arial" w:hAnsi="Arial"/>
          <w:b/>
          <w:sz w:val="20"/>
        </w:rPr>
        <w:t>Primero.-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line="242" w:lineRule="auto" w:before="229"/>
        <w:ind w:left="1" w:right="152" w:firstLine="288"/>
        <w:jc w:val="both"/>
      </w:pPr>
      <w:r>
        <w:rPr>
          <w:rFonts w:ascii="Arial" w:hAnsi="Arial"/>
          <w:b/>
        </w:rPr>
        <w:t>Segundo.- </w:t>
      </w:r>
      <w:r>
        <w:rPr/>
        <w:t>A partir del ejercicio fiscal 2004, los Estados deberán hacer los cambios pertinentes a los lineamientos que rigen a los Periódicos Oficiales, a efecto de dar cumplimiento a lo estipulado en el artículo 36 de esta Ley.</w:t>
      </w:r>
    </w:p>
    <w:p>
      <w:pPr>
        <w:spacing w:before="225"/>
        <w:ind w:left="1" w:right="141" w:firstLine="288"/>
        <w:jc w:val="both"/>
        <w:rPr>
          <w:sz w:val="20"/>
        </w:rPr>
      </w:pPr>
      <w:r>
        <w:rPr>
          <w:sz w:val="20"/>
        </w:rPr>
        <w:t>México, D.F., a 30 de abril de 2003.- Dip. </w:t>
      </w:r>
      <w:r>
        <w:rPr>
          <w:rFonts w:ascii="Arial" w:hAnsi="Arial"/>
          <w:b/>
          <w:sz w:val="20"/>
        </w:rPr>
        <w:t>Armando Salinas Torre</w:t>
      </w:r>
      <w:r>
        <w:rPr>
          <w:sz w:val="20"/>
        </w:rPr>
        <w:t>, Presidente.- Sen. </w:t>
      </w:r>
      <w:r>
        <w:rPr>
          <w:rFonts w:ascii="Arial" w:hAnsi="Arial"/>
          <w:b/>
          <w:sz w:val="20"/>
        </w:rPr>
        <w:t>Enrique Jackson Ramírez</w:t>
      </w:r>
      <w:r>
        <w:rPr>
          <w:sz w:val="20"/>
        </w:rPr>
        <w:t>, Presidente.- Dip. </w:t>
      </w:r>
      <w:r>
        <w:rPr>
          <w:rFonts w:ascii="Arial" w:hAnsi="Arial"/>
          <w:b/>
          <w:sz w:val="20"/>
        </w:rPr>
        <w:t>Adela Cerezo Bautista</w:t>
      </w:r>
      <w:r>
        <w:rPr>
          <w:sz w:val="20"/>
        </w:rPr>
        <w:t>, Secretario.- Sen. </w:t>
      </w:r>
      <w:r>
        <w:rPr>
          <w:rFonts w:ascii="Arial" w:hAnsi="Arial"/>
          <w:b/>
          <w:sz w:val="20"/>
        </w:rPr>
        <w:t>Lydia Madero García, </w:t>
      </w:r>
      <w:r>
        <w:rPr>
          <w:sz w:val="20"/>
        </w:rPr>
        <w:t>Secretaria.- Rúbricas</w:t>
      </w:r>
      <w:r>
        <w:rPr>
          <w:rFonts w:ascii="Arial" w:hAnsi="Arial"/>
          <w:b/>
          <w:sz w:val="20"/>
        </w:rPr>
        <w:t>"</w:t>
      </w:r>
      <w:r>
        <w:rPr>
          <w:sz w:val="20"/>
        </w:rPr>
        <w:t>.</w:t>
      </w:r>
    </w:p>
    <w:p>
      <w:pPr>
        <w:pStyle w:val="BodyText"/>
        <w:spacing w:before="1"/>
      </w:pPr>
    </w:p>
    <w:p>
      <w:pPr>
        <w:pStyle w:val="BodyText"/>
        <w:spacing w:before="1"/>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w:t>
      </w:r>
      <w:r>
        <w:rPr>
          <w:spacing w:val="-2"/>
        </w:rPr>
        <w:t> </w:t>
      </w:r>
      <w:r>
        <w:rPr/>
        <w:t>julio de</w:t>
      </w:r>
      <w:r>
        <w:rPr>
          <w:spacing w:val="-2"/>
        </w:rPr>
        <w:t> </w:t>
      </w:r>
      <w:r>
        <w:rPr/>
        <w:t>dos mil</w:t>
      </w:r>
      <w:r>
        <w:rPr>
          <w:spacing w:val="-2"/>
        </w:rPr>
        <w:t> </w:t>
      </w:r>
      <w:r>
        <w:rPr/>
        <w:t>tres.- </w:t>
      </w:r>
      <w:r>
        <w:rPr>
          <w:rFonts w:ascii="Arial" w:hAnsi="Arial"/>
          <w:b/>
        </w:rPr>
        <w:t>Vicente</w:t>
      </w:r>
      <w:r>
        <w:rPr>
          <w:rFonts w:ascii="Arial" w:hAnsi="Arial"/>
          <w:b/>
          <w:spacing w:val="-1"/>
        </w:rPr>
        <w:t> </w:t>
      </w:r>
      <w:r>
        <w:rPr>
          <w:rFonts w:ascii="Arial" w:hAnsi="Arial"/>
          <w:b/>
        </w:rPr>
        <w:t>Fox</w:t>
      </w:r>
      <w:r>
        <w:rPr>
          <w:rFonts w:ascii="Arial" w:hAnsi="Arial"/>
          <w:b/>
          <w:spacing w:val="-1"/>
        </w:rPr>
        <w:t> </w:t>
      </w:r>
      <w:r>
        <w:rPr>
          <w:rFonts w:ascii="Arial" w:hAnsi="Arial"/>
          <w:b/>
        </w:rPr>
        <w:t>Quesada</w:t>
      </w:r>
      <w:r>
        <w:rPr/>
        <w:t>.- Rúbrica.- El</w:t>
      </w:r>
      <w:r>
        <w:rPr>
          <w:spacing w:val="-2"/>
        </w:rPr>
        <w:t> </w:t>
      </w:r>
      <w:r>
        <w:rPr/>
        <w:t>Secretario</w:t>
      </w:r>
      <w:r>
        <w:rPr>
          <w:spacing w:val="-1"/>
        </w:rPr>
        <w:t> </w:t>
      </w:r>
      <w:r>
        <w:rPr/>
        <w:t>de</w:t>
      </w:r>
      <w:r>
        <w:rPr>
          <w:spacing w:val="-1"/>
        </w:rPr>
        <w:t> </w:t>
      </w:r>
      <w:r>
        <w:rPr/>
        <w:t>Gobernación, </w:t>
      </w:r>
      <w:r>
        <w:rPr>
          <w:rFonts w:ascii="Arial" w:hAnsi="Arial"/>
          <w:b/>
        </w:rPr>
        <w:t>Santiago Creel Miranda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jc w:val="left"/>
      </w:pPr>
      <w:r>
        <w:rPr/>
        <w:t>DECRETO</w:t>
      </w:r>
      <w:r>
        <w:rPr>
          <w:spacing w:val="-4"/>
        </w:rPr>
        <w:t> </w:t>
      </w:r>
      <w:r>
        <w:rPr/>
        <w:t>por</w:t>
      </w:r>
      <w:r>
        <w:rPr>
          <w:spacing w:val="-2"/>
        </w:rPr>
        <w:t> </w:t>
      </w:r>
      <w:r>
        <w:rPr/>
        <w:t>el</w:t>
      </w:r>
      <w:r>
        <w:rPr>
          <w:spacing w:val="-1"/>
        </w:rPr>
        <w:t> </w:t>
      </w:r>
      <w:r>
        <w:rPr/>
        <w:t>que</w:t>
      </w:r>
      <w:r>
        <w:rPr>
          <w:spacing w:val="-6"/>
        </w:rPr>
        <w:t> </w:t>
      </w:r>
      <w:r>
        <w:rPr/>
        <w:t>se</w:t>
      </w:r>
      <w:r>
        <w:rPr>
          <w:spacing w:val="-3"/>
        </w:rPr>
        <w:t> </w:t>
      </w:r>
      <w:r>
        <w:rPr/>
        <w:t>reforma</w:t>
      </w:r>
      <w:r>
        <w:rPr>
          <w:spacing w:val="-5"/>
        </w:rPr>
        <w:t> </w:t>
      </w:r>
      <w:r>
        <w:rPr/>
        <w:t>el</w:t>
      </w:r>
      <w:r>
        <w:rPr>
          <w:spacing w:val="-4"/>
        </w:rPr>
        <w:t> </w:t>
      </w:r>
      <w:r>
        <w:rPr/>
        <w:t>artículo</w:t>
      </w:r>
      <w:r>
        <w:rPr>
          <w:spacing w:val="-3"/>
        </w:rPr>
        <w:t> </w:t>
      </w:r>
      <w:r>
        <w:rPr/>
        <w:t>9-A</w:t>
      </w:r>
      <w:r>
        <w:rPr>
          <w:spacing w:val="-7"/>
        </w:rPr>
        <w:t> </w:t>
      </w:r>
      <w:r>
        <w:rPr/>
        <w:t>de</w:t>
      </w:r>
      <w:r>
        <w:rPr>
          <w:spacing w:val="-3"/>
        </w:rPr>
        <w:t> </w:t>
      </w:r>
      <w:r>
        <w:rPr/>
        <w:t>la</w:t>
      </w:r>
      <w:r>
        <w:rPr>
          <w:spacing w:val="-3"/>
        </w:rPr>
        <w:t> </w:t>
      </w:r>
      <w:r>
        <w:rPr/>
        <w:t>Ley</w:t>
      </w:r>
      <w:r>
        <w:rPr>
          <w:spacing w:val="-8"/>
        </w:rPr>
        <w:t> </w:t>
      </w:r>
      <w:r>
        <w:rPr/>
        <w:t>de</w:t>
      </w:r>
      <w:r>
        <w:rPr>
          <w:spacing w:val="-3"/>
        </w:rPr>
        <w:t> </w:t>
      </w:r>
      <w:r>
        <w:rPr/>
        <w:t>Coordinación</w:t>
      </w:r>
      <w:r>
        <w:rPr>
          <w:spacing w:val="-3"/>
        </w:rPr>
        <w:t> </w:t>
      </w:r>
      <w:r>
        <w:rPr>
          <w:spacing w:val="-2"/>
        </w:rPr>
        <w:t>Fiscal.</w:t>
      </w:r>
    </w:p>
    <w:p>
      <w:pPr>
        <w:spacing w:before="233"/>
        <w:ind w:left="1156" w:right="129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2003</w:t>
      </w:r>
    </w:p>
    <w:p>
      <w:pPr>
        <w:pStyle w:val="BodyText"/>
        <w:spacing w:before="45"/>
        <w:rPr>
          <w:sz w:val="16"/>
        </w:rPr>
      </w:pPr>
    </w:p>
    <w:p>
      <w:pPr>
        <w:pStyle w:val="BodyText"/>
        <w:spacing w:before="1"/>
        <w:ind w:left="289"/>
      </w:pPr>
      <w:r>
        <w:rPr>
          <w:rFonts w:ascii="Arial" w:hAnsi="Arial"/>
          <w:b/>
        </w:rPr>
        <w:t>Artículo</w:t>
      </w:r>
      <w:r>
        <w:rPr>
          <w:rFonts w:ascii="Arial" w:hAnsi="Arial"/>
          <w:b/>
          <w:spacing w:val="-5"/>
        </w:rPr>
        <w:t> </w:t>
      </w:r>
      <w:r>
        <w:rPr>
          <w:rFonts w:ascii="Arial" w:hAnsi="Arial"/>
          <w:b/>
        </w:rPr>
        <w:t>Único.-</w:t>
      </w:r>
      <w:r>
        <w:rPr>
          <w:rFonts w:ascii="Arial" w:hAnsi="Arial"/>
          <w:b/>
          <w:spacing w:val="-5"/>
        </w:rPr>
        <w:t> </w:t>
      </w:r>
      <w:r>
        <w:rPr/>
        <w:t>Se</w:t>
      </w:r>
      <w:r>
        <w:rPr>
          <w:spacing w:val="-6"/>
        </w:rPr>
        <w:t> </w:t>
      </w:r>
      <w:r>
        <w:rPr/>
        <w:t>reforma</w:t>
      </w:r>
      <w:r>
        <w:rPr>
          <w:spacing w:val="-5"/>
        </w:rPr>
        <w:t> </w:t>
      </w:r>
      <w:r>
        <w:rPr/>
        <w:t>el</w:t>
      </w:r>
      <w:r>
        <w:rPr>
          <w:spacing w:val="-5"/>
        </w:rPr>
        <w:t> </w:t>
      </w:r>
      <w:r>
        <w:rPr/>
        <w:t>artículo</w:t>
      </w:r>
      <w:r>
        <w:rPr>
          <w:spacing w:val="-6"/>
        </w:rPr>
        <w:t> </w:t>
      </w:r>
      <w:r>
        <w:rPr/>
        <w:t>9-A</w:t>
      </w:r>
      <w:r>
        <w:rPr>
          <w:spacing w:val="-6"/>
        </w:rPr>
        <w:t> </w:t>
      </w:r>
      <w:r>
        <w:rPr/>
        <w:t>de</w:t>
      </w:r>
      <w:r>
        <w:rPr>
          <w:spacing w:val="-5"/>
        </w:rPr>
        <w:t> </w:t>
      </w:r>
      <w:r>
        <w:rPr/>
        <w:t>la</w:t>
      </w:r>
      <w:r>
        <w:rPr>
          <w:spacing w:val="-6"/>
        </w:rPr>
        <w:t> </w:t>
      </w:r>
      <w:r>
        <w:rPr/>
        <w:t>Ley</w:t>
      </w:r>
      <w:r>
        <w:rPr>
          <w:spacing w:val="-7"/>
        </w:rPr>
        <w:t> </w:t>
      </w:r>
      <w:r>
        <w:rPr/>
        <w:t>de</w:t>
      </w:r>
      <w:r>
        <w:rPr>
          <w:spacing w:val="-5"/>
        </w:rPr>
        <w:t> </w:t>
      </w:r>
      <w:r>
        <w:rPr/>
        <w:t>Coordinación</w:t>
      </w:r>
      <w:r>
        <w:rPr>
          <w:spacing w:val="-6"/>
        </w:rPr>
        <w:t> </w:t>
      </w:r>
      <w:r>
        <w:rPr/>
        <w:t>Fiscal,</w:t>
      </w:r>
      <w:r>
        <w:rPr>
          <w:spacing w:val="-6"/>
        </w:rPr>
        <w:t> </w:t>
      </w:r>
      <w:r>
        <w:rPr/>
        <w:t>para</w:t>
      </w:r>
      <w:r>
        <w:rPr>
          <w:spacing w:val="-3"/>
        </w:rPr>
        <w:t> </w:t>
      </w:r>
      <w:r>
        <w:rPr/>
        <w:t>quedar</w:t>
      </w:r>
      <w:r>
        <w:rPr>
          <w:spacing w:val="-5"/>
        </w:rPr>
        <w:t> </w:t>
      </w:r>
      <w:r>
        <w:rPr/>
        <w:t>como</w:t>
      </w:r>
      <w:r>
        <w:rPr>
          <w:spacing w:val="-5"/>
        </w:rPr>
        <w:t> </w:t>
      </w:r>
      <w:r>
        <w:rPr>
          <w:spacing w:val="-2"/>
        </w:rPr>
        <w:t>sigue:</w:t>
      </w:r>
    </w:p>
    <w:p>
      <w:pPr>
        <w:pStyle w:val="BodyText"/>
      </w:pPr>
    </w:p>
    <w:p>
      <w:pPr>
        <w:spacing w:before="1"/>
        <w:ind w:left="289" w:right="0" w:firstLine="0"/>
        <w:jc w:val="left"/>
        <w:rPr>
          <w:sz w:val="20"/>
        </w:rPr>
      </w:pPr>
      <w:r>
        <w:rPr>
          <w:spacing w:val="-2"/>
          <w:sz w:val="20"/>
        </w:rPr>
        <w:t>..........</w:t>
      </w:r>
    </w:p>
    <w:p>
      <w:pPr>
        <w:pStyle w:val="Heading1"/>
        <w:ind w:left="147" w:right="0"/>
      </w:pPr>
      <w:r>
        <w:rPr>
          <w:spacing w:val="-2"/>
        </w:rPr>
        <w:t>TRANSITORIOS</w:t>
      </w:r>
    </w:p>
    <w:p>
      <w:pPr>
        <w:pStyle w:val="BodyText"/>
        <w:spacing w:before="1"/>
        <w:rPr>
          <w:rFonts w:ascii="Arial"/>
          <w:b/>
        </w:rPr>
      </w:pPr>
    </w:p>
    <w:p>
      <w:pPr>
        <w:spacing w:before="0"/>
        <w:ind w:left="1" w:right="142" w:firstLine="288"/>
        <w:jc w:val="both"/>
        <w:rPr>
          <w:sz w:val="20"/>
        </w:rPr>
      </w:pPr>
      <w:r>
        <w:rPr>
          <w:rFonts w:ascii="Arial" w:hAnsi="Arial"/>
          <w:b/>
          <w:sz w:val="20"/>
        </w:rPr>
        <w:t>Primero.-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2"/>
      </w:pPr>
    </w:p>
    <w:p>
      <w:pPr>
        <w:pStyle w:val="BodyText"/>
        <w:ind w:left="1" w:right="147" w:firstLine="288"/>
        <w:jc w:val="both"/>
      </w:pPr>
      <w:r>
        <w:rPr>
          <w:rFonts w:ascii="Arial" w:hAnsi="Arial"/>
          <w:b/>
        </w:rPr>
        <w:t>Segundo.- </w:t>
      </w:r>
      <w:r>
        <w:rPr/>
        <w:t>Para los convenios que se firmen a partir de la fecha de publicación de este Decreto en el </w:t>
      </w:r>
      <w:r>
        <w:rPr>
          <w:rFonts w:ascii="Arial" w:hAnsi="Arial"/>
          <w:b/>
        </w:rPr>
        <w:t>Diario Oficial de la Federación</w:t>
      </w:r>
      <w:r>
        <w:rPr/>
        <w:t>, se tomará como base de medición del nivel recaudatorio, el mostrado</w:t>
      </w:r>
      <w:r>
        <w:rPr>
          <w:spacing w:val="40"/>
        </w:rPr>
        <w:t> </w:t>
      </w:r>
      <w:r>
        <w:rPr/>
        <w:t>en el año inmediato anterior a la firma del mismo.</w:t>
      </w:r>
    </w:p>
    <w:p>
      <w:pPr>
        <w:spacing w:before="230"/>
        <w:ind w:left="1" w:right="141" w:firstLine="288"/>
        <w:jc w:val="both"/>
        <w:rPr>
          <w:sz w:val="20"/>
        </w:rPr>
      </w:pPr>
      <w:r>
        <w:rPr>
          <w:sz w:val="20"/>
        </w:rPr>
        <w:t>México, D.F., a 30 de abril de 2003.- Dip. </w:t>
      </w:r>
      <w:r>
        <w:rPr>
          <w:rFonts w:ascii="Arial" w:hAnsi="Arial"/>
          <w:b/>
          <w:sz w:val="20"/>
        </w:rPr>
        <w:t>Armando Salinas Torre</w:t>
      </w:r>
      <w:r>
        <w:rPr>
          <w:sz w:val="20"/>
        </w:rPr>
        <w:t>, Presidente.- Sen. </w:t>
      </w:r>
      <w:r>
        <w:rPr>
          <w:rFonts w:ascii="Arial" w:hAnsi="Arial"/>
          <w:b/>
          <w:sz w:val="20"/>
        </w:rPr>
        <w:t>Enrique Jackson Ramírez</w:t>
      </w:r>
      <w:r>
        <w:rPr>
          <w:sz w:val="20"/>
        </w:rPr>
        <w:t>, Presidente.- Dip. </w:t>
      </w:r>
      <w:r>
        <w:rPr>
          <w:rFonts w:ascii="Arial" w:hAnsi="Arial"/>
          <w:b/>
          <w:sz w:val="20"/>
        </w:rPr>
        <w:t>Adela Cerezo Bautista</w:t>
      </w:r>
      <w:r>
        <w:rPr>
          <w:sz w:val="20"/>
        </w:rPr>
        <w:t>, Secretario.- Sen. </w:t>
      </w:r>
      <w:r>
        <w:rPr>
          <w:rFonts w:ascii="Arial" w:hAnsi="Arial"/>
          <w:b/>
          <w:sz w:val="20"/>
        </w:rPr>
        <w:t>Lydia Madero García</w:t>
      </w:r>
      <w:r>
        <w:rPr>
          <w:sz w:val="20"/>
        </w:rPr>
        <w:t>, Secretaria.- Rúbricas</w:t>
      </w:r>
      <w:r>
        <w:rPr>
          <w:rFonts w:ascii="Arial" w:hAnsi="Arial"/>
          <w:b/>
          <w:sz w:val="20"/>
        </w:rPr>
        <w:t>"</w:t>
      </w:r>
      <w:r>
        <w:rPr>
          <w:sz w:val="20"/>
        </w:rPr>
        <w:t>.</w:t>
      </w:r>
    </w:p>
    <w:p>
      <w:pPr>
        <w:pStyle w:val="BodyText"/>
        <w:spacing w:before="1"/>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once</w:t>
      </w:r>
      <w:r>
        <w:rPr>
          <w:spacing w:val="-1"/>
        </w:rPr>
        <w:t> </w:t>
      </w:r>
      <w:r>
        <w:rPr/>
        <w:t>días del</w:t>
      </w:r>
      <w:r>
        <w:rPr>
          <w:spacing w:val="-2"/>
        </w:rPr>
        <w:t> </w:t>
      </w:r>
      <w:r>
        <w:rPr/>
        <w:t>mes de</w:t>
      </w:r>
      <w:r>
        <w:rPr>
          <w:spacing w:val="-1"/>
        </w:rPr>
        <w:t> </w:t>
      </w:r>
      <w:r>
        <w:rPr/>
        <w:t>julio de</w:t>
      </w:r>
      <w:r>
        <w:rPr>
          <w:spacing w:val="-2"/>
        </w:rPr>
        <w:t> </w:t>
      </w:r>
      <w:r>
        <w:rPr/>
        <w:t>dos mil</w:t>
      </w:r>
      <w:r>
        <w:rPr>
          <w:spacing w:val="-2"/>
        </w:rPr>
        <w:t> </w:t>
      </w:r>
      <w:r>
        <w:rPr/>
        <w:t>tres.- </w:t>
      </w:r>
      <w:r>
        <w:rPr>
          <w:rFonts w:ascii="Arial" w:hAnsi="Arial"/>
          <w:b/>
        </w:rPr>
        <w:t>Vicente</w:t>
      </w:r>
      <w:r>
        <w:rPr>
          <w:rFonts w:ascii="Arial" w:hAnsi="Arial"/>
          <w:b/>
          <w:spacing w:val="-1"/>
        </w:rPr>
        <w:t> </w:t>
      </w:r>
      <w:r>
        <w:rPr>
          <w:rFonts w:ascii="Arial" w:hAnsi="Arial"/>
          <w:b/>
        </w:rPr>
        <w:t>Fox</w:t>
      </w:r>
      <w:r>
        <w:rPr>
          <w:rFonts w:ascii="Arial" w:hAnsi="Arial"/>
          <w:b/>
          <w:spacing w:val="-1"/>
        </w:rPr>
        <w:t> </w:t>
      </w:r>
      <w:r>
        <w:rPr>
          <w:rFonts w:ascii="Arial" w:hAnsi="Arial"/>
          <w:b/>
        </w:rPr>
        <w:t>Quesada</w:t>
      </w:r>
      <w:r>
        <w:rPr/>
        <w:t>.- Rúbrica.- El</w:t>
      </w:r>
      <w:r>
        <w:rPr>
          <w:spacing w:val="-2"/>
        </w:rPr>
        <w:t> </w:t>
      </w:r>
      <w:r>
        <w:rPr/>
        <w:t>Secretario</w:t>
      </w:r>
      <w:r>
        <w:rPr>
          <w:spacing w:val="-1"/>
        </w:rPr>
        <w:t> </w:t>
      </w:r>
      <w:r>
        <w:rPr/>
        <w:t>de</w:t>
      </w:r>
      <w:r>
        <w:rPr>
          <w:spacing w:val="-1"/>
        </w:rPr>
        <w:t> </w:t>
      </w:r>
      <w:r>
        <w:rPr/>
        <w:t>Gobernación, </w:t>
      </w:r>
      <w:r>
        <w:rPr>
          <w:rFonts w:ascii="Arial" w:hAnsi="Arial"/>
          <w:b/>
        </w:rPr>
        <w:t>Santiago Creel Miranda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jc w:val="left"/>
      </w:pPr>
      <w:r>
        <w:rPr/>
        <w:t>DECRETO</w:t>
      </w:r>
      <w:r>
        <w:rPr>
          <w:spacing w:val="-4"/>
        </w:rPr>
        <w:t> </w:t>
      </w:r>
      <w:r>
        <w:rPr/>
        <w:t>por</w:t>
      </w:r>
      <w:r>
        <w:rPr>
          <w:spacing w:val="-2"/>
        </w:rPr>
        <w:t> </w:t>
      </w:r>
      <w:r>
        <w:rPr/>
        <w:t>el</w:t>
      </w:r>
      <w:r>
        <w:rPr>
          <w:spacing w:val="-1"/>
        </w:rPr>
        <w:t> </w:t>
      </w:r>
      <w:r>
        <w:rPr/>
        <w:t>que</w:t>
      </w:r>
      <w:r>
        <w:rPr>
          <w:spacing w:val="-6"/>
        </w:rPr>
        <w:t> </w:t>
      </w:r>
      <w:r>
        <w:rPr/>
        <w:t>se</w:t>
      </w:r>
      <w:r>
        <w:rPr>
          <w:spacing w:val="-3"/>
        </w:rPr>
        <w:t> </w:t>
      </w:r>
      <w:r>
        <w:rPr/>
        <w:t>reforma</w:t>
      </w:r>
      <w:r>
        <w:rPr>
          <w:spacing w:val="-5"/>
        </w:rPr>
        <w:t> </w:t>
      </w:r>
      <w:r>
        <w:rPr/>
        <w:t>el</w:t>
      </w:r>
      <w:r>
        <w:rPr>
          <w:spacing w:val="-4"/>
        </w:rPr>
        <w:t> </w:t>
      </w:r>
      <w:r>
        <w:rPr/>
        <w:t>artículo</w:t>
      </w:r>
      <w:r>
        <w:rPr>
          <w:spacing w:val="-3"/>
        </w:rPr>
        <w:t> </w:t>
      </w:r>
      <w:r>
        <w:rPr/>
        <w:t>9-A</w:t>
      </w:r>
      <w:r>
        <w:rPr>
          <w:spacing w:val="-7"/>
        </w:rPr>
        <w:t> </w:t>
      </w:r>
      <w:r>
        <w:rPr/>
        <w:t>de</w:t>
      </w:r>
      <w:r>
        <w:rPr>
          <w:spacing w:val="-3"/>
        </w:rPr>
        <w:t> </w:t>
      </w:r>
      <w:r>
        <w:rPr/>
        <w:t>la</w:t>
      </w:r>
      <w:r>
        <w:rPr>
          <w:spacing w:val="-3"/>
        </w:rPr>
        <w:t> </w:t>
      </w:r>
      <w:r>
        <w:rPr/>
        <w:t>Ley</w:t>
      </w:r>
      <w:r>
        <w:rPr>
          <w:spacing w:val="-8"/>
        </w:rPr>
        <w:t> </w:t>
      </w:r>
      <w:r>
        <w:rPr/>
        <w:t>de</w:t>
      </w:r>
      <w:r>
        <w:rPr>
          <w:spacing w:val="-3"/>
        </w:rPr>
        <w:t> </w:t>
      </w:r>
      <w:r>
        <w:rPr/>
        <w:t>Coordinación</w:t>
      </w:r>
      <w:r>
        <w:rPr>
          <w:spacing w:val="-3"/>
        </w:rPr>
        <w:t> </w:t>
      </w:r>
      <w:r>
        <w:rPr>
          <w:spacing w:val="-2"/>
        </w:rPr>
        <w:t>Fiscal.</w:t>
      </w:r>
    </w:p>
    <w:p>
      <w:pPr>
        <w:spacing w:before="233"/>
        <w:ind w:left="1156" w:right="1296" w:firstLine="0"/>
        <w:jc w:val="center"/>
        <w:rPr>
          <w:sz w:val="16"/>
        </w:rPr>
      </w:pPr>
      <w:r>
        <w:rPr>
          <w:sz w:val="16"/>
        </w:rPr>
        <w:t>Publicado</w:t>
      </w:r>
      <w:r>
        <w:rPr>
          <w:spacing w:val="-8"/>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1"/>
          <w:sz w:val="16"/>
        </w:rPr>
        <w:t> </w:t>
      </w:r>
      <w:r>
        <w:rPr>
          <w:sz w:val="16"/>
        </w:rPr>
        <w:t>de</w:t>
      </w:r>
      <w:r>
        <w:rPr>
          <w:spacing w:val="-6"/>
          <w:sz w:val="16"/>
        </w:rPr>
        <w:t> </w:t>
      </w:r>
      <w:r>
        <w:rPr>
          <w:sz w:val="16"/>
        </w:rPr>
        <w:t>diciembre</w:t>
      </w:r>
      <w:r>
        <w:rPr>
          <w:spacing w:val="-4"/>
          <w:sz w:val="16"/>
        </w:rPr>
        <w:t> </w:t>
      </w:r>
      <w:r>
        <w:rPr>
          <w:sz w:val="16"/>
        </w:rPr>
        <w:t>de</w:t>
      </w:r>
      <w:r>
        <w:rPr>
          <w:spacing w:val="-5"/>
          <w:sz w:val="16"/>
        </w:rPr>
        <w:t> </w:t>
      </w:r>
      <w:r>
        <w:rPr>
          <w:spacing w:val="-4"/>
          <w:sz w:val="16"/>
        </w:rPr>
        <w:t>2003</w:t>
      </w:r>
    </w:p>
    <w:p>
      <w:pPr>
        <w:pStyle w:val="BodyText"/>
        <w:spacing w:before="45"/>
        <w:rPr>
          <w:sz w:val="16"/>
        </w:rPr>
      </w:pPr>
    </w:p>
    <w:p>
      <w:pPr>
        <w:pStyle w:val="BodyText"/>
        <w:spacing w:before="1"/>
        <w:ind w:left="289"/>
      </w:pPr>
      <w:r>
        <w:rPr>
          <w:rFonts w:ascii="Arial" w:hAnsi="Arial"/>
          <w:b/>
        </w:rPr>
        <w:t>Artículo</w:t>
      </w:r>
      <w:r>
        <w:rPr>
          <w:rFonts w:ascii="Arial" w:hAnsi="Arial"/>
          <w:b/>
          <w:spacing w:val="-5"/>
        </w:rPr>
        <w:t> </w:t>
      </w:r>
      <w:r>
        <w:rPr>
          <w:rFonts w:ascii="Arial" w:hAnsi="Arial"/>
          <w:b/>
        </w:rPr>
        <w:t>Único.</w:t>
      </w:r>
      <w:r>
        <w:rPr>
          <w:rFonts w:ascii="Arial" w:hAnsi="Arial"/>
          <w:b/>
          <w:spacing w:val="-5"/>
        </w:rPr>
        <w:t> </w:t>
      </w:r>
      <w:r>
        <w:rPr/>
        <w:t>Se</w:t>
      </w:r>
      <w:r>
        <w:rPr>
          <w:spacing w:val="-5"/>
        </w:rPr>
        <w:t> </w:t>
      </w:r>
      <w:r>
        <w:rPr/>
        <w:t>reforma</w:t>
      </w:r>
      <w:r>
        <w:rPr>
          <w:spacing w:val="-6"/>
        </w:rPr>
        <w:t> </w:t>
      </w:r>
      <w:r>
        <w:rPr/>
        <w:t>el</w:t>
      </w:r>
      <w:r>
        <w:rPr>
          <w:spacing w:val="-4"/>
        </w:rPr>
        <w:t> </w:t>
      </w:r>
      <w:r>
        <w:rPr/>
        <w:t>artículo</w:t>
      </w:r>
      <w:r>
        <w:rPr>
          <w:spacing w:val="-6"/>
        </w:rPr>
        <w:t> </w:t>
      </w:r>
      <w:r>
        <w:rPr/>
        <w:t>9-A</w:t>
      </w:r>
      <w:r>
        <w:rPr>
          <w:spacing w:val="-5"/>
        </w:rPr>
        <w:t> </w:t>
      </w:r>
      <w:r>
        <w:rPr/>
        <w:t>de</w:t>
      </w:r>
      <w:r>
        <w:rPr>
          <w:spacing w:val="-6"/>
        </w:rPr>
        <w:t> </w:t>
      </w:r>
      <w:r>
        <w:rPr/>
        <w:t>la</w:t>
      </w:r>
      <w:r>
        <w:rPr>
          <w:spacing w:val="-5"/>
        </w:rPr>
        <w:t> </w:t>
      </w:r>
      <w:r>
        <w:rPr/>
        <w:t>Ley</w:t>
      </w:r>
      <w:r>
        <w:rPr>
          <w:spacing w:val="-6"/>
        </w:rPr>
        <w:t> </w:t>
      </w:r>
      <w:r>
        <w:rPr/>
        <w:t>de</w:t>
      </w:r>
      <w:r>
        <w:rPr>
          <w:spacing w:val="-6"/>
        </w:rPr>
        <w:t> </w:t>
      </w:r>
      <w:r>
        <w:rPr/>
        <w:t>Coordinación</w:t>
      </w:r>
      <w:r>
        <w:rPr>
          <w:spacing w:val="-5"/>
        </w:rPr>
        <w:t> </w:t>
      </w:r>
      <w:r>
        <w:rPr/>
        <w:t>Fiscal,</w:t>
      </w:r>
      <w:r>
        <w:rPr>
          <w:spacing w:val="-6"/>
        </w:rPr>
        <w:t> </w:t>
      </w:r>
      <w:r>
        <w:rPr/>
        <w:t>para</w:t>
      </w:r>
      <w:r>
        <w:rPr>
          <w:spacing w:val="-3"/>
        </w:rPr>
        <w:t> </w:t>
      </w:r>
      <w:r>
        <w:rPr/>
        <w:t>quedar</w:t>
      </w:r>
      <w:r>
        <w:rPr>
          <w:spacing w:val="-4"/>
        </w:rPr>
        <w:t> </w:t>
      </w:r>
      <w:r>
        <w:rPr/>
        <w:t>como</w:t>
      </w:r>
      <w:r>
        <w:rPr>
          <w:spacing w:val="-6"/>
        </w:rPr>
        <w:t> </w:t>
      </w:r>
      <w:r>
        <w:rPr>
          <w:spacing w:val="-2"/>
        </w:rPr>
        <w:t>sigue:</w:t>
      </w:r>
    </w:p>
    <w:p>
      <w:pPr>
        <w:pStyle w:val="BodyText"/>
      </w:pPr>
    </w:p>
    <w:p>
      <w:pPr>
        <w:spacing w:before="1"/>
        <w:ind w:left="289" w:right="0" w:firstLine="0"/>
        <w:jc w:val="left"/>
        <w:rPr>
          <w:sz w:val="20"/>
        </w:rPr>
      </w:pPr>
      <w:r>
        <w:rPr>
          <w:spacing w:val="-2"/>
          <w:sz w:val="20"/>
        </w:rPr>
        <w:t>..........</w:t>
      </w:r>
    </w:p>
    <w:p>
      <w:pPr>
        <w:pStyle w:val="Heading1"/>
        <w:ind w:left="147" w:right="0"/>
      </w:pPr>
      <w:r>
        <w:rPr>
          <w:spacing w:val="-2"/>
        </w:rPr>
        <w:t>TRANSITORIOS</w:t>
      </w:r>
    </w:p>
    <w:p>
      <w:pPr>
        <w:pStyle w:val="BodyText"/>
        <w:spacing w:before="1"/>
        <w:rPr>
          <w:rFonts w:ascii="Arial"/>
          <w:b/>
        </w:rPr>
      </w:pPr>
    </w:p>
    <w:p>
      <w:pPr>
        <w:spacing w:before="0"/>
        <w:ind w:left="1" w:right="142" w:firstLine="288"/>
        <w:jc w:val="both"/>
        <w:rPr>
          <w:sz w:val="20"/>
        </w:rPr>
      </w:pPr>
      <w:r>
        <w:rPr>
          <w:rFonts w:ascii="Arial" w:hAnsi="Arial"/>
          <w:b/>
          <w:sz w:val="20"/>
        </w:rPr>
        <w:t>Primero.-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2"/>
      </w:pPr>
    </w:p>
    <w:p>
      <w:pPr>
        <w:pStyle w:val="BodyText"/>
        <w:ind w:left="1" w:right="147" w:firstLine="288"/>
        <w:jc w:val="both"/>
      </w:pPr>
      <w:r>
        <w:rPr>
          <w:rFonts w:ascii="Arial" w:hAnsi="Arial"/>
          <w:b/>
        </w:rPr>
        <w:t>Segundo.- </w:t>
      </w:r>
      <w:r>
        <w:rPr/>
        <w:t>Por el ejercicio de 2003, la Federación, por conducto de la Secretaría de Hacienda y Crédito Público, continuará efectuando las aportaciones que le correspondan de conformidad con los convenios que</w:t>
      </w:r>
      <w:r>
        <w:rPr>
          <w:spacing w:val="-1"/>
        </w:rPr>
        <w:t> </w:t>
      </w:r>
      <w:r>
        <w:rPr/>
        <w:t>se hubieren celebrado con los estados y</w:t>
      </w:r>
      <w:r>
        <w:rPr>
          <w:spacing w:val="-4"/>
        </w:rPr>
        <w:t> </w:t>
      </w:r>
      <w:r>
        <w:rPr/>
        <w:t>municipios,</w:t>
      </w:r>
      <w:r>
        <w:rPr>
          <w:spacing w:val="-1"/>
        </w:rPr>
        <w:t> </w:t>
      </w:r>
      <w:r>
        <w:rPr/>
        <w:t>con</w:t>
      </w:r>
      <w:r>
        <w:rPr>
          <w:spacing w:val="-1"/>
        </w:rPr>
        <w:t> </w:t>
      </w:r>
      <w:r>
        <w:rPr/>
        <w:t>fundamento en lo dispuesto en el artículo 9-A de la Ley de Coordinación Fiscal vigente hasta el 14 de julio de 2003, relativos a puentes de peaje operados por la Federación.</w:t>
      </w:r>
    </w:p>
    <w:p>
      <w:pPr>
        <w:pStyle w:val="BodyText"/>
      </w:pPr>
    </w:p>
    <w:p>
      <w:pPr>
        <w:pStyle w:val="BodyText"/>
        <w:ind w:left="1" w:right="144" w:firstLine="288"/>
        <w:jc w:val="both"/>
      </w:pPr>
      <w:r>
        <w:rPr>
          <w:rFonts w:ascii="Arial" w:hAnsi="Arial"/>
          <w:b/>
        </w:rPr>
        <w:t>Tercero.- </w:t>
      </w:r>
      <w:r>
        <w:rPr/>
        <w:t>Los convenios a que se refiere el artículo 9-A, que se reforma por medio de este Decreto, podrán ser celebrados a partir del 1 de enero de 2004 y para su suscripción se tomará como base de recaudación del impuesto predial la correspondiente al año inmediato anterior a la firma del mismo.</w:t>
      </w:r>
    </w:p>
    <w:p>
      <w:pPr>
        <w:spacing w:before="230"/>
        <w:ind w:left="1" w:right="138" w:firstLine="288"/>
        <w:jc w:val="both"/>
        <w:rPr>
          <w:sz w:val="20"/>
        </w:rPr>
      </w:pPr>
      <w:r>
        <w:rPr>
          <w:sz w:val="20"/>
        </w:rPr>
        <w:t>México, D.F., a 2 de diciembre de 2003.- Dip. </w:t>
      </w:r>
      <w:r>
        <w:rPr>
          <w:rFonts w:ascii="Arial" w:hAnsi="Arial"/>
          <w:b/>
          <w:sz w:val="20"/>
        </w:rPr>
        <w:t>Juan de Dios Castro Lozano</w:t>
      </w:r>
      <w:r>
        <w:rPr>
          <w:sz w:val="20"/>
        </w:rPr>
        <w:t>, Presidente.- Sen. </w:t>
      </w:r>
      <w:r>
        <w:rPr>
          <w:rFonts w:ascii="Arial" w:hAnsi="Arial"/>
          <w:b/>
          <w:sz w:val="20"/>
        </w:rPr>
        <w:t>Enrique Jackson Ramírez</w:t>
      </w:r>
      <w:r>
        <w:rPr>
          <w:sz w:val="20"/>
        </w:rPr>
        <w:t>, Presidente.- Dip. </w:t>
      </w:r>
      <w:r>
        <w:rPr>
          <w:rFonts w:ascii="Arial" w:hAnsi="Arial"/>
          <w:b/>
          <w:sz w:val="20"/>
        </w:rPr>
        <w:t>Marcos Morales Torres</w:t>
      </w:r>
      <w:r>
        <w:rPr>
          <w:sz w:val="20"/>
        </w:rPr>
        <w:t>, Secretario.- Sen. </w:t>
      </w:r>
      <w:r>
        <w:rPr>
          <w:rFonts w:ascii="Arial" w:hAnsi="Arial"/>
          <w:b/>
          <w:sz w:val="20"/>
        </w:rPr>
        <w:t>Lydia Madero García</w:t>
      </w:r>
      <w:r>
        <w:rPr>
          <w:sz w:val="20"/>
        </w:rPr>
        <w:t>, Secretaria.- Rúbricas</w:t>
      </w:r>
      <w:r>
        <w:rPr>
          <w:rFonts w:ascii="Arial" w:hAnsi="Arial"/>
          <w:b/>
          <w:sz w:val="20"/>
        </w:rPr>
        <w:t>"</w:t>
      </w:r>
      <w:r>
        <w:rPr>
          <w:sz w:val="20"/>
        </w:rPr>
        <w:t>.</w:t>
      </w:r>
    </w:p>
    <w:p>
      <w:pPr>
        <w:pStyle w:val="BodyText"/>
        <w:spacing w:before="2"/>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veintinueve días del mes de diciembre de dos mil tres.-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jc w:val="left"/>
      </w:pPr>
      <w:r>
        <w:rPr/>
        <w:t>DECRETO</w:t>
      </w:r>
      <w:r>
        <w:rPr>
          <w:spacing w:val="-4"/>
        </w:rPr>
        <w:t> </w:t>
      </w:r>
      <w:r>
        <w:rPr/>
        <w:t>por</w:t>
      </w:r>
      <w:r>
        <w:rPr>
          <w:spacing w:val="-2"/>
        </w:rPr>
        <w:t> </w:t>
      </w:r>
      <w:r>
        <w:rPr/>
        <w:t>el</w:t>
      </w:r>
      <w:r>
        <w:rPr>
          <w:spacing w:val="-1"/>
        </w:rPr>
        <w:t> </w:t>
      </w:r>
      <w:r>
        <w:rPr/>
        <w:t>que</w:t>
      </w:r>
      <w:r>
        <w:rPr>
          <w:spacing w:val="-5"/>
        </w:rPr>
        <w:t> </w:t>
      </w:r>
      <w:r>
        <w:rPr/>
        <w:t>se</w:t>
      </w:r>
      <w:r>
        <w:rPr>
          <w:spacing w:val="-4"/>
        </w:rPr>
        <w:t> </w:t>
      </w:r>
      <w:r>
        <w:rPr/>
        <w:t>reforma</w:t>
      </w:r>
      <w:r>
        <w:rPr>
          <w:spacing w:val="-5"/>
        </w:rPr>
        <w:t> </w:t>
      </w:r>
      <w:r>
        <w:rPr/>
        <w:t>el</w:t>
      </w:r>
      <w:r>
        <w:rPr>
          <w:spacing w:val="-4"/>
        </w:rPr>
        <w:t> </w:t>
      </w:r>
      <w:r>
        <w:rPr/>
        <w:t>artículo</w:t>
      </w:r>
      <w:r>
        <w:rPr>
          <w:spacing w:val="-3"/>
        </w:rPr>
        <w:t> </w:t>
      </w:r>
      <w:r>
        <w:rPr/>
        <w:t>44</w:t>
      </w:r>
      <w:r>
        <w:rPr>
          <w:spacing w:val="-5"/>
        </w:rPr>
        <w:t> </w:t>
      </w:r>
      <w:r>
        <w:rPr/>
        <w:t>de</w:t>
      </w:r>
      <w:r>
        <w:rPr>
          <w:spacing w:val="-5"/>
        </w:rPr>
        <w:t> </w:t>
      </w:r>
      <w:r>
        <w:rPr/>
        <w:t>la</w:t>
      </w:r>
      <w:r>
        <w:rPr>
          <w:spacing w:val="-3"/>
        </w:rPr>
        <w:t> </w:t>
      </w:r>
      <w:r>
        <w:rPr/>
        <w:t>Ley</w:t>
      </w:r>
      <w:r>
        <w:rPr>
          <w:spacing w:val="-8"/>
        </w:rPr>
        <w:t> </w:t>
      </w:r>
      <w:r>
        <w:rPr/>
        <w:t>de</w:t>
      </w:r>
      <w:r>
        <w:rPr>
          <w:spacing w:val="-3"/>
        </w:rPr>
        <w:t> </w:t>
      </w:r>
      <w:r>
        <w:rPr/>
        <w:t>Coordinación</w:t>
      </w:r>
      <w:r>
        <w:rPr>
          <w:spacing w:val="-3"/>
        </w:rPr>
        <w:t> </w:t>
      </w:r>
      <w:r>
        <w:rPr>
          <w:spacing w:val="-2"/>
        </w:rPr>
        <w:t>Fiscal.</w:t>
      </w:r>
    </w:p>
    <w:p>
      <w:pPr>
        <w:spacing w:before="233"/>
        <w:ind w:left="0" w:right="139"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3"/>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2004</w:t>
      </w:r>
    </w:p>
    <w:p>
      <w:pPr>
        <w:pStyle w:val="BodyText"/>
        <w:spacing w:before="45"/>
        <w:rPr>
          <w:sz w:val="16"/>
        </w:rPr>
      </w:pPr>
    </w:p>
    <w:p>
      <w:pPr>
        <w:pStyle w:val="BodyText"/>
        <w:spacing w:before="1"/>
        <w:ind w:left="1" w:firstLine="288"/>
      </w:pPr>
      <w:r>
        <w:rPr>
          <w:rFonts w:ascii="Arial" w:hAnsi="Arial"/>
          <w:b/>
        </w:rPr>
        <w:t>Artículo Único.-</w:t>
      </w:r>
      <w:r>
        <w:rPr>
          <w:rFonts w:ascii="Arial" w:hAnsi="Arial"/>
          <w:b/>
          <w:spacing w:val="22"/>
        </w:rPr>
        <w:t> </w:t>
      </w:r>
      <w:r>
        <w:rPr/>
        <w:t>Se reforma el tercer párrafo del artículo 44 de</w:t>
      </w:r>
      <w:r>
        <w:rPr>
          <w:spacing w:val="20"/>
        </w:rPr>
        <w:t> </w:t>
      </w:r>
      <w:r>
        <w:rPr/>
        <w:t>la Ley de Coordinación Fiscal, para</w:t>
      </w:r>
      <w:r>
        <w:rPr>
          <w:spacing w:val="40"/>
        </w:rPr>
        <w:t> </w:t>
      </w:r>
      <w:r>
        <w:rPr/>
        <w:t>quedar como sigue:</w:t>
      </w:r>
    </w:p>
    <w:p>
      <w:pPr>
        <w:pStyle w:val="BodyText"/>
        <w:spacing w:before="1"/>
      </w:pPr>
    </w:p>
    <w:p>
      <w:pPr>
        <w:spacing w:before="0"/>
        <w:ind w:left="289" w:right="0" w:firstLine="0"/>
        <w:jc w:val="left"/>
        <w:rPr>
          <w:sz w:val="20"/>
        </w:rPr>
      </w:pPr>
      <w:r>
        <w:rPr>
          <w:spacing w:val="-2"/>
          <w:sz w:val="20"/>
        </w:rPr>
        <w:t>..........</w:t>
      </w:r>
    </w:p>
    <w:p>
      <w:pPr>
        <w:pStyle w:val="Heading2"/>
        <w:spacing w:before="226"/>
        <w:ind w:left="150"/>
      </w:pPr>
      <w:r>
        <w:rPr>
          <w:spacing w:val="-2"/>
        </w:rPr>
        <w:t>Transitorio</w:t>
      </w:r>
    </w:p>
    <w:p>
      <w:pPr>
        <w:pStyle w:val="BodyText"/>
        <w:spacing w:before="2"/>
        <w:rPr>
          <w:rFonts w:ascii="Arial"/>
          <w:b/>
        </w:rPr>
      </w:pPr>
    </w:p>
    <w:p>
      <w:pPr>
        <w:spacing w:before="0"/>
        <w:ind w:left="1" w:right="142" w:firstLine="288"/>
        <w:jc w:val="both"/>
        <w:rPr>
          <w:sz w:val="20"/>
        </w:rPr>
      </w:pPr>
      <w:r>
        <w:rPr>
          <w:rFonts w:ascii="Arial" w:hAnsi="Arial"/>
          <w:b/>
          <w:sz w:val="20"/>
        </w:rPr>
        <w:t>Único.- </w:t>
      </w:r>
      <w:r>
        <w:rPr>
          <w:sz w:val="20"/>
        </w:rPr>
        <w:t>El presente Decreto entrará en vigor al día siguiente al de su publicación en el </w:t>
      </w:r>
      <w:r>
        <w:rPr>
          <w:rFonts w:ascii="Arial" w:hAnsi="Arial"/>
          <w:b/>
          <w:sz w:val="20"/>
        </w:rPr>
        <w:t>Diario Oficial de la Federación</w:t>
      </w:r>
      <w:r>
        <w:rPr>
          <w:sz w:val="20"/>
        </w:rPr>
        <w:t>.</w:t>
      </w:r>
    </w:p>
    <w:p>
      <w:pPr>
        <w:spacing w:before="229"/>
        <w:ind w:left="1" w:right="140" w:firstLine="288"/>
        <w:jc w:val="both"/>
        <w:rPr>
          <w:rFonts w:ascii="Arial" w:hAnsi="Arial"/>
          <w:b/>
          <w:sz w:val="20"/>
        </w:rPr>
      </w:pPr>
      <w:r>
        <w:rPr>
          <w:sz w:val="20"/>
        </w:rPr>
        <w:t>México,</w:t>
      </w:r>
      <w:r>
        <w:rPr>
          <w:spacing w:val="-1"/>
          <w:sz w:val="20"/>
        </w:rPr>
        <w:t> </w:t>
      </w:r>
      <w:r>
        <w:rPr>
          <w:sz w:val="20"/>
        </w:rPr>
        <w:t>D.F., a</w:t>
      </w:r>
      <w:r>
        <w:rPr>
          <w:spacing w:val="-1"/>
          <w:sz w:val="20"/>
        </w:rPr>
        <w:t> </w:t>
      </w:r>
      <w:r>
        <w:rPr>
          <w:sz w:val="20"/>
        </w:rPr>
        <w:t>29</w:t>
      </w:r>
      <w:r>
        <w:rPr>
          <w:spacing w:val="-1"/>
          <w:sz w:val="20"/>
        </w:rPr>
        <w:t> </w:t>
      </w:r>
      <w:r>
        <w:rPr>
          <w:sz w:val="20"/>
        </w:rPr>
        <w:t>de</w:t>
      </w:r>
      <w:r>
        <w:rPr>
          <w:spacing w:val="-1"/>
          <w:sz w:val="20"/>
        </w:rPr>
        <w:t> </w:t>
      </w:r>
      <w:r>
        <w:rPr>
          <w:sz w:val="20"/>
        </w:rPr>
        <w:t>abril de</w:t>
      </w:r>
      <w:r>
        <w:rPr>
          <w:spacing w:val="-2"/>
          <w:sz w:val="20"/>
        </w:rPr>
        <w:t> </w:t>
      </w:r>
      <w:r>
        <w:rPr>
          <w:sz w:val="20"/>
        </w:rPr>
        <w:t>2004.- Sen. </w:t>
      </w:r>
      <w:r>
        <w:rPr>
          <w:rFonts w:ascii="Arial" w:hAnsi="Arial"/>
          <w:b/>
          <w:sz w:val="20"/>
        </w:rPr>
        <w:t>Enrique</w:t>
      </w:r>
      <w:r>
        <w:rPr>
          <w:rFonts w:ascii="Arial" w:hAnsi="Arial"/>
          <w:b/>
          <w:spacing w:val="-1"/>
          <w:sz w:val="20"/>
        </w:rPr>
        <w:t> </w:t>
      </w:r>
      <w:r>
        <w:rPr>
          <w:rFonts w:ascii="Arial" w:hAnsi="Arial"/>
          <w:b/>
          <w:sz w:val="20"/>
        </w:rPr>
        <w:t>Jackson Ramírez</w:t>
      </w:r>
      <w:r>
        <w:rPr>
          <w:sz w:val="20"/>
        </w:rPr>
        <w:t>,</w:t>
      </w:r>
      <w:r>
        <w:rPr>
          <w:spacing w:val="-1"/>
          <w:sz w:val="20"/>
        </w:rPr>
        <w:t> </w:t>
      </w:r>
      <w:r>
        <w:rPr>
          <w:sz w:val="20"/>
        </w:rPr>
        <w:t>Presidente.- Dip.</w:t>
      </w:r>
      <w:r>
        <w:rPr>
          <w:spacing w:val="-1"/>
          <w:sz w:val="20"/>
        </w:rPr>
        <w:t> </w:t>
      </w:r>
      <w:r>
        <w:rPr>
          <w:rFonts w:ascii="Arial" w:hAnsi="Arial"/>
          <w:b/>
          <w:sz w:val="20"/>
        </w:rPr>
        <w:t>Juan de</w:t>
      </w:r>
      <w:r>
        <w:rPr>
          <w:rFonts w:ascii="Arial" w:hAnsi="Arial"/>
          <w:b/>
          <w:spacing w:val="-1"/>
          <w:sz w:val="20"/>
        </w:rPr>
        <w:t> </w:t>
      </w:r>
      <w:r>
        <w:rPr>
          <w:rFonts w:ascii="Arial" w:hAnsi="Arial"/>
          <w:b/>
          <w:sz w:val="20"/>
        </w:rPr>
        <w:t>Dios Castro Lozano</w:t>
      </w:r>
      <w:r>
        <w:rPr>
          <w:sz w:val="20"/>
        </w:rPr>
        <w:t>, Presidente.- Sen. </w:t>
      </w:r>
      <w:r>
        <w:rPr>
          <w:rFonts w:ascii="Arial" w:hAnsi="Arial"/>
          <w:b/>
          <w:sz w:val="20"/>
        </w:rPr>
        <w:t>Rafael Melgoza Radillo</w:t>
      </w:r>
      <w:r>
        <w:rPr>
          <w:sz w:val="20"/>
        </w:rPr>
        <w:t>, Secretario.- Dip. </w:t>
      </w:r>
      <w:r>
        <w:rPr>
          <w:rFonts w:ascii="Arial" w:hAnsi="Arial"/>
          <w:b/>
          <w:sz w:val="20"/>
        </w:rPr>
        <w:t>Amalín Yabur Elías</w:t>
      </w:r>
      <w:r>
        <w:rPr>
          <w:sz w:val="20"/>
        </w:rPr>
        <w:t>, Secretaria.- Rúbricas.</w:t>
      </w:r>
      <w:r>
        <w:rPr>
          <w:rFonts w:ascii="Arial" w:hAnsi="Arial"/>
          <w:b/>
          <w:sz w:val="20"/>
        </w:rPr>
        <w:t>"</w:t>
      </w:r>
    </w:p>
    <w:p>
      <w:pPr>
        <w:pStyle w:val="BodyText"/>
        <w:spacing w:before="4"/>
        <w:rPr>
          <w:rFonts w:ascii="Arial"/>
          <w:b/>
        </w:rPr>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veinticuatro días del mes de agosto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jc w:val="left"/>
      </w:pPr>
      <w:r>
        <w:rPr/>
        <w:t>DECRETO</w:t>
      </w:r>
      <w:r>
        <w:rPr>
          <w:spacing w:val="-4"/>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5"/>
        </w:rPr>
        <w:t> </w:t>
      </w:r>
      <w:r>
        <w:rPr/>
        <w:t>artículo</w:t>
      </w:r>
      <w:r>
        <w:rPr>
          <w:spacing w:val="-3"/>
        </w:rPr>
        <w:t> </w:t>
      </w:r>
      <w:r>
        <w:rPr/>
        <w:t>44</w:t>
      </w:r>
      <w:r>
        <w:rPr>
          <w:spacing w:val="-5"/>
        </w:rPr>
        <w:t> </w:t>
      </w:r>
      <w:r>
        <w:rPr/>
        <w:t>de</w:t>
      </w:r>
      <w:r>
        <w:rPr>
          <w:spacing w:val="-5"/>
        </w:rPr>
        <w:t> </w:t>
      </w:r>
      <w:r>
        <w:rPr/>
        <w:t>la</w:t>
      </w:r>
      <w:r>
        <w:rPr>
          <w:spacing w:val="1"/>
        </w:rPr>
        <w:t> </w:t>
      </w:r>
      <w:r>
        <w:rPr/>
        <w:t>Ley</w:t>
      </w:r>
      <w:r>
        <w:rPr>
          <w:spacing w:val="-7"/>
        </w:rPr>
        <w:t> </w:t>
      </w:r>
      <w:r>
        <w:rPr/>
        <w:t>de</w:t>
      </w:r>
      <w:r>
        <w:rPr>
          <w:spacing w:val="-3"/>
        </w:rPr>
        <w:t> </w:t>
      </w:r>
      <w:r>
        <w:rPr/>
        <w:t>Coordinación</w:t>
      </w:r>
      <w:r>
        <w:rPr>
          <w:spacing w:val="-3"/>
        </w:rPr>
        <w:t> </w:t>
      </w:r>
      <w:r>
        <w:rPr>
          <w:spacing w:val="-2"/>
        </w:rPr>
        <w:t>Fiscal.</w:t>
      </w:r>
    </w:p>
    <w:p>
      <w:pPr>
        <w:spacing w:before="233"/>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2005</w:t>
      </w:r>
    </w:p>
    <w:p>
      <w:pPr>
        <w:pStyle w:val="BodyText"/>
        <w:spacing w:before="45"/>
        <w:rPr>
          <w:sz w:val="16"/>
        </w:rPr>
      </w:pPr>
    </w:p>
    <w:p>
      <w:pPr>
        <w:pStyle w:val="BodyText"/>
        <w:spacing w:before="1"/>
        <w:ind w:left="1" w:firstLine="288"/>
      </w:pPr>
      <w:r>
        <w:rPr>
          <w:rFonts w:ascii="Arial" w:hAnsi="Arial"/>
          <w:b/>
        </w:rPr>
        <w:t>ARTÍCULO</w:t>
      </w:r>
      <w:r>
        <w:rPr>
          <w:rFonts w:ascii="Arial" w:hAnsi="Arial"/>
          <w:b/>
          <w:spacing w:val="40"/>
        </w:rPr>
        <w:t> </w:t>
      </w:r>
      <w:r>
        <w:rPr>
          <w:rFonts w:ascii="Arial" w:hAnsi="Arial"/>
          <w:b/>
        </w:rPr>
        <w:t>ÚNICO.-</w:t>
      </w:r>
      <w:r>
        <w:rPr>
          <w:rFonts w:ascii="Arial" w:hAnsi="Arial"/>
          <w:b/>
          <w:spacing w:val="60"/>
        </w:rPr>
        <w:t> </w:t>
      </w:r>
      <w:r>
        <w:rPr/>
        <w:t>Se</w:t>
      </w:r>
      <w:r>
        <w:rPr>
          <w:spacing w:val="61"/>
        </w:rPr>
        <w:t> </w:t>
      </w:r>
      <w:r>
        <w:rPr>
          <w:rFonts w:ascii="Arial" w:hAnsi="Arial"/>
          <w:b/>
        </w:rPr>
        <w:t>reforman</w:t>
      </w:r>
      <w:r>
        <w:rPr>
          <w:rFonts w:ascii="Arial" w:hAnsi="Arial"/>
          <w:b/>
          <w:spacing w:val="60"/>
        </w:rPr>
        <w:t> </w:t>
      </w:r>
      <w:r>
        <w:rPr/>
        <w:t>los</w:t>
      </w:r>
      <w:r>
        <w:rPr>
          <w:spacing w:val="40"/>
        </w:rPr>
        <w:t> </w:t>
      </w:r>
      <w:r>
        <w:rPr/>
        <w:t>párrafos</w:t>
      </w:r>
      <w:r>
        <w:rPr>
          <w:spacing w:val="40"/>
        </w:rPr>
        <w:t> </w:t>
      </w:r>
      <w:r>
        <w:rPr/>
        <w:t>primero</w:t>
      </w:r>
      <w:r>
        <w:rPr>
          <w:spacing w:val="40"/>
        </w:rPr>
        <w:t> </w:t>
      </w:r>
      <w:r>
        <w:rPr/>
        <w:t>y</w:t>
      </w:r>
      <w:r>
        <w:rPr>
          <w:spacing w:val="40"/>
        </w:rPr>
        <w:t> </w:t>
      </w:r>
      <w:r>
        <w:rPr/>
        <w:t>tercero</w:t>
      </w:r>
      <w:r>
        <w:rPr>
          <w:spacing w:val="40"/>
        </w:rPr>
        <w:t> </w:t>
      </w:r>
      <w:r>
        <w:rPr/>
        <w:t>del</w:t>
      </w:r>
      <w:r>
        <w:rPr>
          <w:spacing w:val="40"/>
        </w:rPr>
        <w:t> </w:t>
      </w:r>
      <w:r>
        <w:rPr/>
        <w:t>artículo</w:t>
      </w:r>
      <w:r>
        <w:rPr>
          <w:spacing w:val="40"/>
        </w:rPr>
        <w:t> </w:t>
      </w:r>
      <w:r>
        <w:rPr/>
        <w:t>44</w:t>
      </w:r>
      <w:r>
        <w:rPr>
          <w:spacing w:val="40"/>
        </w:rPr>
        <w:t> </w:t>
      </w:r>
      <w:r>
        <w:rPr/>
        <w:t>de</w:t>
      </w:r>
      <w:r>
        <w:rPr>
          <w:spacing w:val="40"/>
        </w:rPr>
        <w:t> </w:t>
      </w:r>
      <w:r>
        <w:rPr/>
        <w:t>la</w:t>
      </w:r>
      <w:r>
        <w:rPr>
          <w:spacing w:val="40"/>
        </w:rPr>
        <w:t> </w:t>
      </w:r>
      <w:r>
        <w:rPr/>
        <w:t>Ley</w:t>
      </w:r>
      <w:r>
        <w:rPr>
          <w:spacing w:val="40"/>
        </w:rPr>
        <w:t> </w:t>
      </w:r>
      <w:r>
        <w:rPr/>
        <w:t>de</w:t>
      </w:r>
      <w:r>
        <w:rPr>
          <w:spacing w:val="40"/>
        </w:rPr>
        <w:t> </w:t>
      </w:r>
      <w:r>
        <w:rPr/>
        <w:t>Coordinación Fiscal, para quedar como sigue:</w:t>
      </w:r>
    </w:p>
    <w:p>
      <w:pPr>
        <w:pStyle w:val="BodyText"/>
        <w:spacing w:before="1"/>
      </w:pPr>
    </w:p>
    <w:p>
      <w:pPr>
        <w:spacing w:before="0"/>
        <w:ind w:left="289" w:right="0" w:firstLine="0"/>
        <w:jc w:val="left"/>
        <w:rPr>
          <w:sz w:val="20"/>
        </w:rPr>
      </w:pPr>
      <w:r>
        <w:rPr>
          <w:spacing w:val="-2"/>
          <w:sz w:val="20"/>
        </w:rPr>
        <w:t>..........</w:t>
      </w:r>
    </w:p>
    <w:p>
      <w:pPr>
        <w:pStyle w:val="Heading1"/>
        <w:ind w:right="1297"/>
      </w:pPr>
      <w:r>
        <w:rPr>
          <w:spacing w:val="-2"/>
        </w:rPr>
        <w:t>TRANSITORIO</w:t>
      </w:r>
    </w:p>
    <w:p>
      <w:pPr>
        <w:pStyle w:val="BodyText"/>
        <w:spacing w:before="2"/>
        <w:rPr>
          <w:rFonts w:ascii="Arial"/>
          <w:b/>
        </w:rPr>
      </w:pPr>
    </w:p>
    <w:p>
      <w:pPr>
        <w:spacing w:before="0"/>
        <w:ind w:left="1" w:right="142" w:firstLine="288"/>
        <w:jc w:val="both"/>
        <w:rPr>
          <w:sz w:val="20"/>
        </w:rPr>
      </w:pPr>
      <w:r>
        <w:rPr>
          <w:rFonts w:ascii="Arial" w:hAnsi="Arial"/>
          <w:b/>
          <w:sz w:val="20"/>
        </w:rPr>
        <w:t>Único.- </w:t>
      </w:r>
      <w:r>
        <w:rPr>
          <w:sz w:val="20"/>
        </w:rPr>
        <w:t>El presente Decreto entrará en vigor el día siguiente al de su publicación en el </w:t>
      </w:r>
      <w:r>
        <w:rPr>
          <w:rFonts w:ascii="Arial" w:hAnsi="Arial"/>
          <w:b/>
          <w:sz w:val="20"/>
        </w:rPr>
        <w:t>Diario Oficial de la Federación</w:t>
      </w:r>
      <w:r>
        <w:rPr>
          <w:sz w:val="20"/>
        </w:rPr>
        <w:t>.</w:t>
      </w:r>
    </w:p>
    <w:p>
      <w:pPr>
        <w:spacing w:before="229"/>
        <w:ind w:left="1" w:right="139" w:firstLine="288"/>
        <w:jc w:val="both"/>
        <w:rPr>
          <w:rFonts w:ascii="Arial" w:hAnsi="Arial"/>
          <w:b/>
          <w:sz w:val="20"/>
        </w:rPr>
      </w:pPr>
      <w:r>
        <w:rPr>
          <w:sz w:val="20"/>
        </w:rPr>
        <w:t>México, D.F., a 14 de diciembre de 2004.- Dip. </w:t>
      </w:r>
      <w:r>
        <w:rPr>
          <w:rFonts w:ascii="Arial" w:hAnsi="Arial"/>
          <w:b/>
          <w:sz w:val="20"/>
        </w:rPr>
        <w:t>Manlio Fabio Beltrones Rivera</w:t>
      </w:r>
      <w:r>
        <w:rPr>
          <w:sz w:val="20"/>
        </w:rPr>
        <w:t>, Presidente.- Sen. </w:t>
      </w:r>
      <w:r>
        <w:rPr>
          <w:rFonts w:ascii="Arial" w:hAnsi="Arial"/>
          <w:b/>
          <w:sz w:val="20"/>
        </w:rPr>
        <w:t>Diego Fernández de Cevallos Ramos</w:t>
      </w:r>
      <w:r>
        <w:rPr>
          <w:sz w:val="20"/>
        </w:rPr>
        <w:t>, Presidente.- Dip. </w:t>
      </w:r>
      <w:r>
        <w:rPr>
          <w:rFonts w:ascii="Arial" w:hAnsi="Arial"/>
          <w:b/>
          <w:sz w:val="20"/>
        </w:rPr>
        <w:t>Marcos Morales Torres</w:t>
      </w:r>
      <w:r>
        <w:rPr>
          <w:sz w:val="20"/>
        </w:rPr>
        <w:t>, Secretario.- Sen.</w:t>
      </w:r>
      <w:r>
        <w:rPr>
          <w:spacing w:val="40"/>
          <w:sz w:val="20"/>
        </w:rPr>
        <w:t> </w:t>
      </w:r>
      <w:r>
        <w:rPr>
          <w:rFonts w:ascii="Arial" w:hAnsi="Arial"/>
          <w:b/>
          <w:sz w:val="20"/>
        </w:rPr>
        <w:t>Sara I. Castellanos Cortés</w:t>
      </w:r>
      <w:r>
        <w:rPr>
          <w:sz w:val="20"/>
        </w:rPr>
        <w:t>, Secretaria.- Rúbricas.</w:t>
      </w:r>
      <w:r>
        <w:rPr>
          <w:rFonts w:ascii="Arial" w:hAnsi="Arial"/>
          <w:b/>
          <w:sz w:val="20"/>
        </w:rPr>
        <w:t>"</w:t>
      </w:r>
    </w:p>
    <w:p>
      <w:pPr>
        <w:pStyle w:val="BodyText"/>
        <w:spacing w:before="4"/>
        <w:rPr>
          <w:rFonts w:ascii="Arial"/>
          <w:b/>
        </w:rPr>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cuatro días del mes de febrero de dos mil cinco.-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9"/>
        <w:jc w:val="both"/>
      </w:pPr>
      <w:r>
        <w:rPr/>
        <w:t>DECRETO por el que se reforman, adicionan y derogan diversas disposiciones de la Ley de Coordinación Fiscal y de la Ley Federal de Presupuesto y Responsabilidad</w:t>
      </w:r>
      <w:r>
        <w:rPr>
          <w:spacing w:val="40"/>
        </w:rPr>
        <w:t> </w:t>
      </w:r>
      <w:r>
        <w:rPr>
          <w:spacing w:val="-2"/>
        </w:rPr>
        <w:t>Hacendaria.</w:t>
      </w:r>
    </w:p>
    <w:p>
      <w:pPr>
        <w:spacing w:before="233"/>
        <w:ind w:left="1156" w:right="129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2006</w:t>
      </w:r>
    </w:p>
    <w:p>
      <w:pPr>
        <w:pStyle w:val="BodyText"/>
        <w:spacing w:before="44"/>
        <w:rPr>
          <w:sz w:val="16"/>
        </w:rPr>
      </w:pPr>
    </w:p>
    <w:p>
      <w:pPr>
        <w:pStyle w:val="BodyText"/>
        <w:spacing w:line="242" w:lineRule="auto"/>
        <w:ind w:left="1" w:right="141" w:firstLine="288"/>
        <w:jc w:val="both"/>
      </w:pPr>
      <w:r>
        <w:rPr>
          <w:rFonts w:ascii="Arial" w:hAnsi="Arial"/>
          <w:b/>
        </w:rPr>
        <w:t>ARTÍCULO PRIMERO.- </w:t>
      </w:r>
      <w:r>
        <w:rPr/>
        <w:t>Se </w:t>
      </w:r>
      <w:r>
        <w:rPr>
          <w:rFonts w:ascii="Arial" w:hAnsi="Arial"/>
          <w:b/>
        </w:rPr>
        <w:t>Reforman </w:t>
      </w:r>
      <w:r>
        <w:rPr/>
        <w:t>los artículos 25, en sus fracciones VI y VII, 44, en sus párrafos tercero y cuarto, 45, en sus párrafos primero y segundo, y 46, y se </w:t>
      </w:r>
      <w:r>
        <w:rPr>
          <w:rFonts w:ascii="Arial" w:hAnsi="Arial"/>
          <w:b/>
        </w:rPr>
        <w:t>Adicionan </w:t>
      </w:r>
      <w:r>
        <w:rPr/>
        <w:t>el artículo 25, con una fracción VIII, y los artículos 44, con un párrafo sexto, 47, 48, 49 y 50, de la Ley de Coordinación Fiscal, para quedar como sigue:</w:t>
      </w:r>
    </w:p>
    <w:p>
      <w:pPr>
        <w:spacing w:before="226"/>
        <w:ind w:left="289" w:right="0" w:firstLine="0"/>
        <w:jc w:val="left"/>
        <w:rPr>
          <w:sz w:val="20"/>
        </w:rPr>
      </w:pPr>
      <w:r>
        <w:rPr>
          <w:spacing w:val="-2"/>
          <w:sz w:val="20"/>
        </w:rPr>
        <w:t>..........</w:t>
      </w:r>
    </w:p>
    <w:p>
      <w:pPr>
        <w:pStyle w:val="Heading1"/>
        <w:spacing w:before="224"/>
      </w:pPr>
      <w:r>
        <w:rPr>
          <w:spacing w:val="-2"/>
        </w:rPr>
        <w:t>TRANSITORIOS</w:t>
      </w:r>
    </w:p>
    <w:p>
      <w:pPr>
        <w:pStyle w:val="BodyText"/>
        <w:spacing w:before="1"/>
        <w:rPr>
          <w:rFonts w:ascii="Arial"/>
          <w:b/>
        </w:rPr>
      </w:pPr>
    </w:p>
    <w:p>
      <w:pPr>
        <w:pStyle w:val="BodyText"/>
        <w:ind w:left="289"/>
      </w:pPr>
      <w:r>
        <w:rPr>
          <w:rFonts w:ascii="Arial" w:hAnsi="Arial"/>
          <w:b/>
        </w:rPr>
        <w:t>Primero.</w:t>
      </w:r>
      <w:r>
        <w:rPr>
          <w:rFonts w:ascii="Arial" w:hAnsi="Arial"/>
          <w:b/>
          <w:spacing w:val="-4"/>
        </w:rPr>
        <w:t> </w:t>
      </w:r>
      <w:r>
        <w:rPr/>
        <w:t>El</w:t>
      </w:r>
      <w:r>
        <w:rPr>
          <w:spacing w:val="-6"/>
        </w:rPr>
        <w:t> </w:t>
      </w:r>
      <w:r>
        <w:rPr/>
        <w:t>presente</w:t>
      </w:r>
      <w:r>
        <w:rPr>
          <w:spacing w:val="-7"/>
        </w:rPr>
        <w:t> </w:t>
      </w:r>
      <w:r>
        <w:rPr/>
        <w:t>Decreto</w:t>
      </w:r>
      <w:r>
        <w:rPr>
          <w:spacing w:val="-8"/>
        </w:rPr>
        <w:t> </w:t>
      </w:r>
      <w:r>
        <w:rPr/>
        <w:t>entrará</w:t>
      </w:r>
      <w:r>
        <w:rPr>
          <w:spacing w:val="-5"/>
        </w:rPr>
        <w:t> </w:t>
      </w:r>
      <w:r>
        <w:rPr/>
        <w:t>en</w:t>
      </w:r>
      <w:r>
        <w:rPr>
          <w:spacing w:val="-5"/>
        </w:rPr>
        <w:t> </w:t>
      </w:r>
      <w:r>
        <w:rPr/>
        <w:t>vigor</w:t>
      </w:r>
      <w:r>
        <w:rPr>
          <w:spacing w:val="-6"/>
        </w:rPr>
        <w:t> </w:t>
      </w:r>
      <w:r>
        <w:rPr/>
        <w:t>el</w:t>
      </w:r>
      <w:r>
        <w:rPr>
          <w:spacing w:val="-7"/>
        </w:rPr>
        <w:t> </w:t>
      </w:r>
      <w:r>
        <w:rPr/>
        <w:t>primero</w:t>
      </w:r>
      <w:r>
        <w:rPr>
          <w:spacing w:val="-7"/>
        </w:rPr>
        <w:t> </w:t>
      </w:r>
      <w:r>
        <w:rPr/>
        <w:t>de</w:t>
      </w:r>
      <w:r>
        <w:rPr>
          <w:spacing w:val="-6"/>
        </w:rPr>
        <w:t> </w:t>
      </w:r>
      <w:r>
        <w:rPr/>
        <w:t>enero</w:t>
      </w:r>
      <w:r>
        <w:rPr>
          <w:spacing w:val="-6"/>
        </w:rPr>
        <w:t> </w:t>
      </w:r>
      <w:r>
        <w:rPr/>
        <w:t>de</w:t>
      </w:r>
      <w:r>
        <w:rPr>
          <w:spacing w:val="-5"/>
        </w:rPr>
        <w:t> </w:t>
      </w:r>
      <w:r>
        <w:rPr>
          <w:spacing w:val="-2"/>
        </w:rPr>
        <w:t>2007.</w:t>
      </w:r>
    </w:p>
    <w:p>
      <w:pPr>
        <w:pStyle w:val="BodyText"/>
        <w:spacing w:before="1"/>
      </w:pPr>
    </w:p>
    <w:p>
      <w:pPr>
        <w:pStyle w:val="BodyText"/>
        <w:spacing w:line="242" w:lineRule="auto"/>
        <w:ind w:left="1" w:right="139" w:firstLine="288"/>
        <w:jc w:val="both"/>
      </w:pPr>
      <w:r>
        <w:rPr>
          <w:rFonts w:ascii="Arial" w:hAnsi="Arial"/>
          <w:b/>
        </w:rPr>
        <w:t>Segundo. </w:t>
      </w:r>
      <w:r>
        <w:rPr/>
        <w:t>Durante el ejercicio fiscal 2007, en tanto se expide el Programa Nacional de Seguridad Pública, lo dispuesto en el artículo 44 de la Ley de Coordinación Fiscal se sujetará a los acuerdos y resoluciones que establezca el Consejo Nacional de Seguridad Pública en los términos del artículo 11 de la Ley General que establece las Bases de Coordinación del Sistema Nacional de Seguridad Pública.</w:t>
      </w:r>
    </w:p>
    <w:p>
      <w:pPr>
        <w:pStyle w:val="BodyText"/>
        <w:spacing w:before="220"/>
        <w:ind w:left="1" w:right="140" w:firstLine="288"/>
        <w:jc w:val="both"/>
      </w:pPr>
      <w:r>
        <w:rPr>
          <w:rFonts w:ascii="Arial" w:hAnsi="Arial"/>
          <w:b/>
        </w:rPr>
        <w:t>Tercero. </w:t>
      </w:r>
      <w:r>
        <w:rPr/>
        <w:t>Para el ejercicio fiscal 2007, la distribución entre los Estados y el Distrito Federal de los recursos del Fondo de Aportaciones para el Fortalecimiento de las Entidades Federativas, a que se</w:t>
      </w:r>
      <w:r>
        <w:rPr>
          <w:spacing w:val="40"/>
        </w:rPr>
        <w:t> </w:t>
      </w:r>
      <w:r>
        <w:rPr/>
        <w:t>refiere el artículo 46 de la Ley de Coordinación Fiscal, se realizará de acuerdo con los porcentajes que a cada</w:t>
      </w:r>
      <w:r>
        <w:rPr>
          <w:spacing w:val="-1"/>
        </w:rPr>
        <w:t> </w:t>
      </w:r>
      <w:r>
        <w:rPr/>
        <w:t>entidad</w:t>
      </w:r>
      <w:r>
        <w:rPr>
          <w:spacing w:val="-1"/>
        </w:rPr>
        <w:t> </w:t>
      </w:r>
      <w:r>
        <w:rPr/>
        <w:t>federativa le haya correspondido conforme</w:t>
      </w:r>
      <w:r>
        <w:rPr>
          <w:spacing w:val="-1"/>
        </w:rPr>
        <w:t> </w:t>
      </w:r>
      <w:r>
        <w:rPr/>
        <w:t>a la distribución</w:t>
      </w:r>
      <w:r>
        <w:rPr>
          <w:spacing w:val="-1"/>
        </w:rPr>
        <w:t> </w:t>
      </w:r>
      <w:r>
        <w:rPr/>
        <w:t>del Programa</w:t>
      </w:r>
      <w:r>
        <w:rPr>
          <w:spacing w:val="-1"/>
        </w:rPr>
        <w:t> </w:t>
      </w:r>
      <w:r>
        <w:rPr/>
        <w:t>de</w:t>
      </w:r>
      <w:r>
        <w:rPr>
          <w:spacing w:val="-2"/>
        </w:rPr>
        <w:t> </w:t>
      </w:r>
      <w:r>
        <w:rPr/>
        <w:t>Apoyos para el Fortalecimiento de las Entidades Federativas en el Presupuesto de Egresos de la Federación para el ejercicio fiscal de 2006.</w:t>
      </w:r>
    </w:p>
    <w:p>
      <w:pPr>
        <w:pStyle w:val="BodyText"/>
        <w:spacing w:before="1"/>
      </w:pPr>
    </w:p>
    <w:p>
      <w:pPr>
        <w:spacing w:before="0"/>
        <w:ind w:left="1" w:right="137" w:firstLine="288"/>
        <w:jc w:val="both"/>
        <w:rPr>
          <w:rFonts w:ascii="Arial" w:hAnsi="Arial"/>
          <w:b/>
          <w:sz w:val="20"/>
        </w:rPr>
      </w:pPr>
      <w:r>
        <w:rPr>
          <w:sz w:val="20"/>
        </w:rPr>
        <w:t>México, D.F., a 19 de diciembre de 2006.- Dip. </w:t>
      </w:r>
      <w:r>
        <w:rPr>
          <w:rFonts w:ascii="Arial" w:hAnsi="Arial"/>
          <w:b/>
          <w:sz w:val="20"/>
        </w:rPr>
        <w:t>Jorge Zermeño Infante</w:t>
      </w:r>
      <w:r>
        <w:rPr>
          <w:sz w:val="20"/>
        </w:rPr>
        <w:t>, Presidente.- Sen. </w:t>
      </w:r>
      <w:r>
        <w:rPr>
          <w:rFonts w:ascii="Arial" w:hAnsi="Arial"/>
          <w:b/>
          <w:sz w:val="20"/>
        </w:rPr>
        <w:t>Manlio Fabio Beltrones Rivera</w:t>
      </w:r>
      <w:r>
        <w:rPr>
          <w:sz w:val="20"/>
        </w:rPr>
        <w:t>, Presidente.- Dip. </w:t>
      </w:r>
      <w:r>
        <w:rPr>
          <w:rFonts w:ascii="Arial" w:hAnsi="Arial"/>
          <w:b/>
          <w:sz w:val="20"/>
        </w:rPr>
        <w:t>Jose Gildardo Guerrero Torres</w:t>
      </w:r>
      <w:r>
        <w:rPr>
          <w:sz w:val="20"/>
        </w:rPr>
        <w:t>, Secretario.- Sen. </w:t>
      </w:r>
      <w:r>
        <w:rPr>
          <w:rFonts w:ascii="Arial" w:hAnsi="Arial"/>
          <w:b/>
          <w:sz w:val="20"/>
        </w:rPr>
        <w:t>Claudia Sofía Corichi García</w:t>
      </w:r>
      <w:r>
        <w:rPr>
          <w:sz w:val="20"/>
        </w:rPr>
        <w:t>, Secretario.- Rúbricas.</w:t>
      </w:r>
      <w:r>
        <w:rPr>
          <w:rFonts w:ascii="Arial" w:hAnsi="Arial"/>
          <w:b/>
          <w:sz w:val="20"/>
        </w:rPr>
        <w:t>"</w:t>
      </w:r>
    </w:p>
    <w:p>
      <w:pPr>
        <w:pStyle w:val="BodyText"/>
        <w:spacing w:before="2"/>
        <w:rPr>
          <w:rFonts w:ascii="Arial"/>
          <w:b/>
        </w:rPr>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veintiséis días del mes de diciembre de dos mil seis.-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8"/>
        <w:jc w:val="both"/>
      </w:pPr>
      <w:r>
        <w:rPr/>
        <w:t>DECRETO por el que se reforman, adicionan y derogan diversas disposiciones de las Leyes Federal de Presupuesto y Responsabilidad Hacendaria; Orgánica de la Administración Pública Federal; de Coordinación Fiscal; de Adquisiciones, Arrendamientos y Servicios del Sector Público, y de Obras Públicas y Servicios Relacionados con las Mismas.</w:t>
      </w:r>
    </w:p>
    <w:p>
      <w:pPr>
        <w:spacing w:before="234"/>
        <w:ind w:left="0" w:right="144"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1º</w:t>
      </w:r>
      <w:r>
        <w:rPr>
          <w:spacing w:val="-4"/>
          <w:sz w:val="16"/>
        </w:rPr>
        <w:t> </w:t>
      </w:r>
      <w:r>
        <w:rPr>
          <w:sz w:val="16"/>
        </w:rPr>
        <w:t>de</w:t>
      </w:r>
      <w:r>
        <w:rPr>
          <w:spacing w:val="-3"/>
          <w:sz w:val="16"/>
        </w:rPr>
        <w:t> </w:t>
      </w:r>
      <w:r>
        <w:rPr>
          <w:sz w:val="16"/>
        </w:rPr>
        <w:t>octubre</w:t>
      </w:r>
      <w:r>
        <w:rPr>
          <w:spacing w:val="-3"/>
          <w:sz w:val="16"/>
        </w:rPr>
        <w:t> </w:t>
      </w:r>
      <w:r>
        <w:rPr>
          <w:sz w:val="16"/>
        </w:rPr>
        <w:t>de</w:t>
      </w:r>
      <w:r>
        <w:rPr>
          <w:spacing w:val="-6"/>
          <w:sz w:val="16"/>
        </w:rPr>
        <w:t> </w:t>
      </w:r>
      <w:r>
        <w:rPr>
          <w:spacing w:val="-4"/>
          <w:sz w:val="16"/>
        </w:rPr>
        <w:t>2007</w:t>
      </w:r>
    </w:p>
    <w:p>
      <w:pPr>
        <w:pStyle w:val="BodyText"/>
        <w:spacing w:before="43"/>
        <w:rPr>
          <w:sz w:val="16"/>
        </w:rPr>
      </w:pPr>
    </w:p>
    <w:p>
      <w:pPr>
        <w:spacing w:before="0"/>
        <w:ind w:left="1156" w:right="1301" w:firstLine="0"/>
        <w:jc w:val="center"/>
        <w:rPr>
          <w:rFonts w:ascii="Arial" w:hAnsi="Arial"/>
          <w:b/>
          <w:sz w:val="20"/>
        </w:rPr>
      </w:pPr>
      <w:r>
        <w:rPr>
          <w:rFonts w:ascii="Arial" w:hAnsi="Arial"/>
          <w:b/>
          <w:sz w:val="20"/>
        </w:rPr>
        <w:t>LEY</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z w:val="20"/>
        </w:rPr>
        <w:t>COORDINACIÓN</w:t>
      </w:r>
      <w:r>
        <w:rPr>
          <w:rFonts w:ascii="Arial" w:hAnsi="Arial"/>
          <w:b/>
          <w:spacing w:val="-6"/>
          <w:sz w:val="20"/>
        </w:rPr>
        <w:t> </w:t>
      </w:r>
      <w:r>
        <w:rPr>
          <w:rFonts w:ascii="Arial" w:hAnsi="Arial"/>
          <w:b/>
          <w:spacing w:val="-2"/>
          <w:sz w:val="20"/>
        </w:rPr>
        <w:t>FISCAL</w:t>
      </w:r>
    </w:p>
    <w:p>
      <w:pPr>
        <w:pStyle w:val="BodyText"/>
        <w:spacing w:before="1"/>
        <w:rPr>
          <w:rFonts w:ascii="Arial"/>
          <w:b/>
        </w:rPr>
      </w:pPr>
    </w:p>
    <w:p>
      <w:pPr>
        <w:pStyle w:val="BodyText"/>
        <w:spacing w:line="242" w:lineRule="auto"/>
        <w:ind w:left="1" w:right="145" w:firstLine="288"/>
        <w:jc w:val="both"/>
      </w:pPr>
      <w:r>
        <w:rPr>
          <w:rFonts w:ascii="Arial" w:hAnsi="Arial"/>
          <w:b/>
        </w:rPr>
        <w:t>ARTÍCULO CUARTO.- </w:t>
      </w:r>
      <w:r>
        <w:rPr/>
        <w:t>Se </w:t>
      </w:r>
      <w:r>
        <w:rPr>
          <w:rFonts w:ascii="Arial" w:hAnsi="Arial"/>
          <w:b/>
        </w:rPr>
        <w:t>REFORMA </w:t>
      </w:r>
      <w:r>
        <w:rPr/>
        <w:t>el artículo 49, párrafo tercero y las fracciones III y IV, y se </w:t>
      </w:r>
      <w:r>
        <w:rPr>
          <w:rFonts w:ascii="Arial" w:hAnsi="Arial"/>
          <w:b/>
        </w:rPr>
        <w:t>ADICIONA </w:t>
      </w:r>
      <w:r>
        <w:rPr/>
        <w:t>el mismo precepto con una fracción V, de la Ley de Coordinación Fiscal, para quedar como </w:t>
      </w:r>
      <w:r>
        <w:rPr>
          <w:spacing w:val="-2"/>
        </w:rPr>
        <w:t>sigue:</w:t>
      </w:r>
    </w:p>
    <w:p>
      <w:pPr>
        <w:spacing w:before="225"/>
        <w:ind w:left="289" w:right="0" w:firstLine="0"/>
        <w:jc w:val="left"/>
        <w:rPr>
          <w:sz w:val="20"/>
        </w:rPr>
      </w:pPr>
      <w:r>
        <w:rPr>
          <w:spacing w:val="-2"/>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ind w:left="1" w:right="147"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1" w:right="151" w:firstLine="288"/>
        <w:jc w:val="both"/>
      </w:pPr>
      <w:r>
        <w:rPr>
          <w:rFonts w:ascii="Arial" w:hAnsi="Arial"/>
          <w:b/>
        </w:rPr>
        <w:t>SEGUNDO. </w:t>
      </w:r>
      <w:r>
        <w:rPr/>
        <w:t>Se derogan el artículo 41 de la Ley del Servicio de Tesorería de la Federación y las demás disposiciones que se opongan a lo previsto en el presente Decreto.</w:t>
      </w:r>
    </w:p>
    <w:p>
      <w:pPr>
        <w:spacing w:before="229"/>
        <w:ind w:left="1" w:right="140" w:firstLine="288"/>
        <w:jc w:val="both"/>
        <w:rPr>
          <w:rFonts w:ascii="Arial" w:hAnsi="Arial"/>
          <w:b/>
          <w:sz w:val="20"/>
        </w:rPr>
      </w:pPr>
      <w:r>
        <w:rPr>
          <w:sz w:val="20"/>
        </w:rPr>
        <w:t>México, D.F., a 14 de septiembre de 2007.- Dip. </w:t>
      </w:r>
      <w:r>
        <w:rPr>
          <w:rFonts w:ascii="Arial" w:hAnsi="Arial"/>
          <w:b/>
          <w:sz w:val="20"/>
        </w:rPr>
        <w:t>Ruth Zavaleta Salgado</w:t>
      </w:r>
      <w:r>
        <w:rPr>
          <w:sz w:val="20"/>
        </w:rPr>
        <w:t>, Presidenta.- Sen. </w:t>
      </w:r>
      <w:r>
        <w:rPr>
          <w:rFonts w:ascii="Arial" w:hAnsi="Arial"/>
          <w:b/>
          <w:sz w:val="20"/>
        </w:rPr>
        <w:t>Santiago Creel Miranda</w:t>
      </w:r>
      <w:r>
        <w:rPr>
          <w:sz w:val="20"/>
        </w:rPr>
        <w:t>, Presidente.- Dip. </w:t>
      </w:r>
      <w:r>
        <w:rPr>
          <w:rFonts w:ascii="Arial" w:hAnsi="Arial"/>
          <w:b/>
          <w:sz w:val="20"/>
        </w:rPr>
        <w:t>Patricia Villanueva Abrajan</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w:t>
      </w:r>
      <w:r>
        <w:rPr>
          <w:spacing w:val="24"/>
        </w:rPr>
        <w:t> </w:t>
      </w:r>
      <w:r>
        <w:rPr/>
        <w:t>Federal, a los veintiocho días</w:t>
      </w:r>
      <w:r>
        <w:rPr>
          <w:spacing w:val="40"/>
        </w:rPr>
        <w:t> </w:t>
      </w:r>
      <w:r>
        <w:rPr/>
        <w:t>del mes de septiembre de dos mil siete.- </w:t>
      </w:r>
      <w:r>
        <w:rPr>
          <w:rFonts w:ascii="Arial" w:hAnsi="Arial"/>
          <w:b/>
        </w:rPr>
        <w:t>Felipe de Jesús Calderón Hinojosa</w:t>
      </w:r>
      <w:r>
        <w:rPr/>
        <w:t>.- Rúbrica.- El Secretario</w:t>
      </w:r>
      <w:r>
        <w:rPr>
          <w:spacing w:val="40"/>
        </w:rPr>
        <w:t> </w:t>
      </w:r>
      <w:r>
        <w:rPr/>
        <w:t>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4"/>
        <w:jc w:val="both"/>
      </w:pPr>
      <w:r>
        <w:rPr/>
        <w:t>DECRETO por el que se reforman, adicionan, derogan y abrogan diversas disposiciones de la Ley de Coordinación Fiscal, de la Ley del Impuesto sobre Tenencia o Uso de Vehículos y de la Ley del Impuesto Especial sobre Producción y Servicios.</w:t>
      </w:r>
    </w:p>
    <w:p>
      <w:pPr>
        <w:spacing w:before="233"/>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2007</w:t>
      </w:r>
    </w:p>
    <w:p>
      <w:pPr>
        <w:pStyle w:val="BodyText"/>
        <w:spacing w:before="44"/>
        <w:rPr>
          <w:sz w:val="16"/>
        </w:rPr>
      </w:pPr>
    </w:p>
    <w:p>
      <w:pPr>
        <w:pStyle w:val="BodyText"/>
        <w:ind w:left="1" w:right="139" w:firstLine="288"/>
        <w:jc w:val="both"/>
      </w:pPr>
      <w:r>
        <w:rPr>
          <w:rFonts w:ascii="Arial" w:hAnsi="Arial"/>
          <w:b/>
        </w:rPr>
        <w:t>ARTÍCULO PRIMERO.- </w:t>
      </w:r>
      <w:r>
        <w:rPr/>
        <w:t>Se </w:t>
      </w:r>
      <w:r>
        <w:rPr>
          <w:rFonts w:ascii="Arial" w:hAnsi="Arial"/>
          <w:b/>
        </w:rPr>
        <w:t>REFORMAN </w:t>
      </w:r>
      <w:r>
        <w:rPr/>
        <w:t>los artículos 2o., cuarto, quinto y sexto párrafos; 2o.-A, segundo párrafo; 4o.; 5o.; 6o., tercer y cuarto párrafos; 7o., último párrafo; 9o., quinto párrafo; 11, último párrafo; 11-A, primero y cuarto párrafos; 15, tercer párrafo; 37; 44, tercer párrafo; 46, segundo párrafo, y 49, primer párrafo; se </w:t>
      </w:r>
      <w:r>
        <w:rPr>
          <w:rFonts w:ascii="Arial" w:hAnsi="Arial"/>
          <w:b/>
        </w:rPr>
        <w:t>ADICIONAN </w:t>
      </w:r>
      <w:r>
        <w:rPr/>
        <w:t>los artículos 2o.-A, último párrafo; 4o.-A; 4o.-B; 10-C; 10-D; 10-E; 27, segundo, tercero, cuarto y quinto párrafos; 46, último párrafo; 50, cuarto párrafo, pasando los actuales cuarto y</w:t>
      </w:r>
      <w:r>
        <w:rPr>
          <w:spacing w:val="-3"/>
        </w:rPr>
        <w:t> </w:t>
      </w:r>
      <w:r>
        <w:rPr/>
        <w:t>quinto párrafos</w:t>
      </w:r>
      <w:r>
        <w:rPr>
          <w:spacing w:val="-1"/>
        </w:rPr>
        <w:t> </w:t>
      </w:r>
      <w:r>
        <w:rPr/>
        <w:t>a</w:t>
      </w:r>
      <w:r>
        <w:rPr>
          <w:spacing w:val="-2"/>
        </w:rPr>
        <w:t> </w:t>
      </w:r>
      <w:r>
        <w:rPr/>
        <w:t>ser</w:t>
      </w:r>
      <w:r>
        <w:rPr>
          <w:spacing w:val="-1"/>
        </w:rPr>
        <w:t> </w:t>
      </w:r>
      <w:r>
        <w:rPr/>
        <w:t>quinto y</w:t>
      </w:r>
      <w:r>
        <w:rPr>
          <w:spacing w:val="-4"/>
        </w:rPr>
        <w:t> </w:t>
      </w:r>
      <w:r>
        <w:rPr/>
        <w:t>sexto</w:t>
      </w:r>
      <w:r>
        <w:rPr>
          <w:spacing w:val="-2"/>
        </w:rPr>
        <w:t> </w:t>
      </w:r>
      <w:r>
        <w:rPr/>
        <w:t>párrafos</w:t>
      </w:r>
      <w:r>
        <w:rPr>
          <w:spacing w:val="-1"/>
        </w:rPr>
        <w:t> </w:t>
      </w:r>
      <w:r>
        <w:rPr/>
        <w:t>respectivamente, y</w:t>
      </w:r>
      <w:r>
        <w:rPr>
          <w:spacing w:val="-4"/>
        </w:rPr>
        <w:t> </w:t>
      </w:r>
      <w:r>
        <w:rPr/>
        <w:t>51, y</w:t>
      </w:r>
      <w:r>
        <w:rPr>
          <w:spacing w:val="-4"/>
        </w:rPr>
        <w:t> </w:t>
      </w:r>
      <w:r>
        <w:rPr/>
        <w:t>se </w:t>
      </w:r>
      <w:r>
        <w:rPr>
          <w:rFonts w:ascii="Arial" w:hAnsi="Arial"/>
          <w:b/>
        </w:rPr>
        <w:t>DEROGAN </w:t>
      </w:r>
      <w:r>
        <w:rPr/>
        <w:t>los</w:t>
      </w:r>
      <w:r>
        <w:rPr>
          <w:spacing w:val="-1"/>
        </w:rPr>
        <w:t> </w:t>
      </w:r>
      <w:r>
        <w:rPr/>
        <w:t>artículos 2o, noveno párrafo; 3o., primer y segundo párrafos, y 11-A, quinto párrafo, de la Ley de Coordinación Fiscal, para quedar como sigue:</w:t>
      </w:r>
    </w:p>
    <w:p>
      <w:pPr>
        <w:pStyle w:val="BodyText"/>
        <w:spacing w:before="4"/>
      </w:pPr>
    </w:p>
    <w:p>
      <w:pPr>
        <w:spacing w:before="0"/>
        <w:ind w:left="289" w:right="0" w:firstLine="0"/>
        <w:jc w:val="left"/>
        <w:rPr>
          <w:sz w:val="20"/>
        </w:rPr>
      </w:pPr>
      <w:r>
        <w:rPr>
          <w:spacing w:val="-4"/>
          <w:sz w:val="20"/>
        </w:rPr>
        <w:t>……….</w:t>
      </w:r>
    </w:p>
    <w:p>
      <w:pPr>
        <w:pStyle w:val="Heading1"/>
        <w:spacing w:before="227"/>
        <w:ind w:left="0" w:right="147"/>
      </w:pPr>
      <w:r>
        <w:rPr/>
        <w:t>DISPOSICIONES</w:t>
      </w:r>
      <w:r>
        <w:rPr>
          <w:spacing w:val="-10"/>
        </w:rPr>
        <w:t> </w:t>
      </w:r>
      <w:r>
        <w:rPr/>
        <w:t>TRANSITORIAS</w:t>
      </w:r>
      <w:r>
        <w:rPr>
          <w:spacing w:val="-7"/>
        </w:rPr>
        <w:t> </w:t>
      </w:r>
      <w:r>
        <w:rPr/>
        <w:t>DE</w:t>
      </w:r>
      <w:r>
        <w:rPr>
          <w:spacing w:val="-7"/>
        </w:rPr>
        <w:t> </w:t>
      </w:r>
      <w:r>
        <w:rPr/>
        <w:t>LA</w:t>
      </w:r>
      <w:r>
        <w:rPr>
          <w:spacing w:val="-11"/>
        </w:rPr>
        <w:t> </w:t>
      </w:r>
      <w:r>
        <w:rPr/>
        <w:t>LEY</w:t>
      </w:r>
      <w:r>
        <w:rPr>
          <w:spacing w:val="-5"/>
        </w:rPr>
        <w:t> </w:t>
      </w:r>
      <w:r>
        <w:rPr/>
        <w:t>DE</w:t>
      </w:r>
      <w:r>
        <w:rPr>
          <w:spacing w:val="-7"/>
        </w:rPr>
        <w:t> </w:t>
      </w:r>
      <w:r>
        <w:rPr/>
        <w:t>COORDINACIÓN</w:t>
      </w:r>
      <w:r>
        <w:rPr>
          <w:spacing w:val="-7"/>
        </w:rPr>
        <w:t> </w:t>
      </w:r>
      <w:r>
        <w:rPr>
          <w:spacing w:val="-2"/>
        </w:rPr>
        <w:t>FISCAL</w:t>
      </w:r>
    </w:p>
    <w:p>
      <w:pPr>
        <w:pStyle w:val="BodyText"/>
        <w:spacing w:line="242" w:lineRule="auto" w:before="231"/>
        <w:ind w:left="1" w:right="148" w:firstLine="288"/>
        <w:jc w:val="both"/>
      </w:pPr>
      <w:r>
        <w:rPr>
          <w:rFonts w:ascii="Arial" w:hAnsi="Arial"/>
          <w:b/>
        </w:rPr>
        <w:t>ARTÍCULO SEGUNDO.- </w:t>
      </w:r>
      <w:r>
        <w:rPr/>
        <w:t>Para los efectos de las modificaciones a la Ley de Coordinación Fiscal previstas en el artículo anterior se estará a lo siguiente:</w:t>
      </w:r>
    </w:p>
    <w:p>
      <w:pPr>
        <w:pStyle w:val="ListParagraph"/>
        <w:numPr>
          <w:ilvl w:val="0"/>
          <w:numId w:val="20"/>
        </w:numPr>
        <w:tabs>
          <w:tab w:pos="1173" w:val="left" w:leader="none"/>
        </w:tabs>
        <w:spacing w:line="242" w:lineRule="auto" w:before="224" w:after="0"/>
        <w:ind w:left="1173" w:right="145" w:hanging="812"/>
        <w:jc w:val="both"/>
        <w:rPr>
          <w:sz w:val="20"/>
        </w:rPr>
      </w:pPr>
      <w:r>
        <w:rPr>
          <w:sz w:val="20"/>
        </w:rPr>
        <w:t>La reforma a los artículos 2o., cuarto párrafo, 6o. tercer párrafo, y 15, tercer párrafo; la adición del artículo 10-E, y la derogación del artículo 2o., noveno párrafo, de la Ley de Coordinación Fiscal, por lo que respecta al impuesto sobre tenencia o uso de vehículos, entrarán en vigor el 1o. de enero de 2012.</w:t>
      </w:r>
    </w:p>
    <w:p>
      <w:pPr>
        <w:pStyle w:val="BodyText"/>
        <w:spacing w:before="223"/>
        <w:ind w:left="1173" w:right="139"/>
        <w:jc w:val="both"/>
      </w:pPr>
      <w:r>
        <w:rPr/>
        <w:t>Las entidades en las que, de conformidad con el artículo cuarto de este Decreto, se suspenda el cobro del impuesto sobre tenencia o uso de vehículos, no estarán sujetas a lo dispuesto por el artículo 2o., noveno párrafo de la Ley de Coordinación Fiscal vigente hasta el 31 de diciembre de 2011. Sin perjuicio de lo anterior deberán cumplir con sus</w:t>
      </w:r>
      <w:r>
        <w:rPr>
          <w:spacing w:val="80"/>
        </w:rPr>
        <w:t> </w:t>
      </w:r>
      <w:r>
        <w:rPr/>
        <w:t>obligaciones en materia de registro estatal de vehículos en términos del artículo 16-A de la Ley del Impuesto sobre Tenencia o Uso de Vehículos, vigente hasta el 31 de diciembre de 2011 y demás disposiciones aplicables.</w:t>
      </w:r>
    </w:p>
    <w:p>
      <w:pPr>
        <w:pStyle w:val="ListParagraph"/>
        <w:numPr>
          <w:ilvl w:val="0"/>
          <w:numId w:val="20"/>
        </w:numPr>
        <w:tabs>
          <w:tab w:pos="1172" w:val="left" w:leader="none"/>
        </w:tabs>
        <w:spacing w:line="240" w:lineRule="auto" w:before="229" w:after="0"/>
        <w:ind w:left="1172" w:right="0" w:hanging="811"/>
        <w:jc w:val="left"/>
        <w:rPr>
          <w:sz w:val="20"/>
        </w:rPr>
      </w:pPr>
      <w:r>
        <w:rPr>
          <w:sz w:val="20"/>
        </w:rPr>
        <w:t>La</w:t>
      </w:r>
      <w:r>
        <w:rPr>
          <w:spacing w:val="10"/>
          <w:sz w:val="20"/>
        </w:rPr>
        <w:t> </w:t>
      </w:r>
      <w:r>
        <w:rPr>
          <w:sz w:val="20"/>
        </w:rPr>
        <w:t>Comisión</w:t>
      </w:r>
      <w:r>
        <w:rPr>
          <w:spacing w:val="11"/>
          <w:sz w:val="20"/>
        </w:rPr>
        <w:t> </w:t>
      </w:r>
      <w:r>
        <w:rPr>
          <w:sz w:val="20"/>
        </w:rPr>
        <w:t>Nacional</w:t>
      </w:r>
      <w:r>
        <w:rPr>
          <w:spacing w:val="12"/>
          <w:sz w:val="20"/>
        </w:rPr>
        <w:t> </w:t>
      </w:r>
      <w:r>
        <w:rPr>
          <w:sz w:val="20"/>
        </w:rPr>
        <w:t>del</w:t>
      </w:r>
      <w:r>
        <w:rPr>
          <w:spacing w:val="15"/>
          <w:sz w:val="20"/>
        </w:rPr>
        <w:t> </w:t>
      </w:r>
      <w:r>
        <w:rPr>
          <w:sz w:val="20"/>
        </w:rPr>
        <w:t>Agua</w:t>
      </w:r>
      <w:r>
        <w:rPr>
          <w:spacing w:val="10"/>
          <w:sz w:val="20"/>
        </w:rPr>
        <w:t> </w:t>
      </w:r>
      <w:r>
        <w:rPr>
          <w:sz w:val="20"/>
        </w:rPr>
        <w:t>sólo</w:t>
      </w:r>
      <w:r>
        <w:rPr>
          <w:spacing w:val="13"/>
          <w:sz w:val="20"/>
        </w:rPr>
        <w:t> </w:t>
      </w:r>
      <w:r>
        <w:rPr>
          <w:sz w:val="20"/>
        </w:rPr>
        <w:t>podrá</w:t>
      </w:r>
      <w:r>
        <w:rPr>
          <w:spacing w:val="11"/>
          <w:sz w:val="20"/>
        </w:rPr>
        <w:t> </w:t>
      </w:r>
      <w:r>
        <w:rPr>
          <w:sz w:val="20"/>
        </w:rPr>
        <w:t>solicitar</w:t>
      </w:r>
      <w:r>
        <w:rPr>
          <w:spacing w:val="14"/>
          <w:sz w:val="20"/>
        </w:rPr>
        <w:t> </w:t>
      </w:r>
      <w:r>
        <w:rPr>
          <w:sz w:val="20"/>
        </w:rPr>
        <w:t>la</w:t>
      </w:r>
      <w:r>
        <w:rPr>
          <w:spacing w:val="10"/>
          <w:sz w:val="20"/>
        </w:rPr>
        <w:t> </w:t>
      </w:r>
      <w:r>
        <w:rPr>
          <w:sz w:val="20"/>
        </w:rPr>
        <w:t>retención</w:t>
      </w:r>
      <w:r>
        <w:rPr>
          <w:spacing w:val="14"/>
          <w:sz w:val="20"/>
        </w:rPr>
        <w:t> </w:t>
      </w:r>
      <w:r>
        <w:rPr>
          <w:sz w:val="20"/>
        </w:rPr>
        <w:t>a</w:t>
      </w:r>
      <w:r>
        <w:rPr>
          <w:spacing w:val="10"/>
          <w:sz w:val="20"/>
        </w:rPr>
        <w:t> </w:t>
      </w:r>
      <w:r>
        <w:rPr>
          <w:sz w:val="20"/>
        </w:rPr>
        <w:t>que</w:t>
      </w:r>
      <w:r>
        <w:rPr>
          <w:spacing w:val="13"/>
          <w:sz w:val="20"/>
        </w:rPr>
        <w:t> </w:t>
      </w:r>
      <w:r>
        <w:rPr>
          <w:sz w:val="20"/>
        </w:rPr>
        <w:t>se</w:t>
      </w:r>
      <w:r>
        <w:rPr>
          <w:spacing w:val="11"/>
          <w:sz w:val="20"/>
        </w:rPr>
        <w:t> </w:t>
      </w:r>
      <w:r>
        <w:rPr>
          <w:sz w:val="20"/>
        </w:rPr>
        <w:t>refiere</w:t>
      </w:r>
      <w:r>
        <w:rPr>
          <w:spacing w:val="10"/>
          <w:sz w:val="20"/>
        </w:rPr>
        <w:t> </w:t>
      </w:r>
      <w:r>
        <w:rPr>
          <w:sz w:val="20"/>
        </w:rPr>
        <w:t>el</w:t>
      </w:r>
      <w:r>
        <w:rPr>
          <w:spacing w:val="13"/>
          <w:sz w:val="20"/>
        </w:rPr>
        <w:t> </w:t>
      </w:r>
      <w:r>
        <w:rPr>
          <w:spacing w:val="-2"/>
          <w:sz w:val="20"/>
        </w:rPr>
        <w:t>artículo</w:t>
      </w:r>
    </w:p>
    <w:p>
      <w:pPr>
        <w:pStyle w:val="BodyText"/>
        <w:spacing w:before="3"/>
        <w:ind w:left="1173"/>
      </w:pPr>
      <w:r>
        <w:rPr/>
        <w:t>51</w:t>
      </w:r>
      <w:r>
        <w:rPr>
          <w:spacing w:val="40"/>
        </w:rPr>
        <w:t> </w:t>
      </w:r>
      <w:r>
        <w:rPr/>
        <w:t>que</w:t>
      </w:r>
      <w:r>
        <w:rPr>
          <w:spacing w:val="40"/>
        </w:rPr>
        <w:t> </w:t>
      </w:r>
      <w:r>
        <w:rPr/>
        <w:t>se</w:t>
      </w:r>
      <w:r>
        <w:rPr>
          <w:spacing w:val="40"/>
        </w:rPr>
        <w:t> </w:t>
      </w:r>
      <w:r>
        <w:rPr/>
        <w:t>adiciona</w:t>
      </w:r>
      <w:r>
        <w:rPr>
          <w:spacing w:val="40"/>
        </w:rPr>
        <w:t> </w:t>
      </w:r>
      <w:r>
        <w:rPr/>
        <w:t>a</w:t>
      </w:r>
      <w:r>
        <w:rPr>
          <w:spacing w:val="40"/>
        </w:rPr>
        <w:t> </w:t>
      </w:r>
      <w:r>
        <w:rPr/>
        <w:t>la</w:t>
      </w:r>
      <w:r>
        <w:rPr>
          <w:spacing w:val="40"/>
        </w:rPr>
        <w:t> </w:t>
      </w:r>
      <w:r>
        <w:rPr/>
        <w:t>Ley</w:t>
      </w:r>
      <w:r>
        <w:rPr>
          <w:spacing w:val="40"/>
        </w:rPr>
        <w:t> </w:t>
      </w:r>
      <w:r>
        <w:rPr/>
        <w:t>de</w:t>
      </w:r>
      <w:r>
        <w:rPr>
          <w:spacing w:val="40"/>
        </w:rPr>
        <w:t> </w:t>
      </w:r>
      <w:r>
        <w:rPr/>
        <w:t>Coordinación</w:t>
      </w:r>
      <w:r>
        <w:rPr>
          <w:spacing w:val="40"/>
        </w:rPr>
        <w:t> </w:t>
      </w:r>
      <w:r>
        <w:rPr/>
        <w:t>Fiscal</w:t>
      </w:r>
      <w:r>
        <w:rPr>
          <w:spacing w:val="40"/>
        </w:rPr>
        <w:t> </w:t>
      </w:r>
      <w:r>
        <w:rPr/>
        <w:t>para</w:t>
      </w:r>
      <w:r>
        <w:rPr>
          <w:spacing w:val="40"/>
        </w:rPr>
        <w:t> </w:t>
      </w:r>
      <w:r>
        <w:rPr/>
        <w:t>el</w:t>
      </w:r>
      <w:r>
        <w:rPr>
          <w:spacing w:val="40"/>
        </w:rPr>
        <w:t> </w:t>
      </w:r>
      <w:r>
        <w:rPr/>
        <w:t>cobro</w:t>
      </w:r>
      <w:r>
        <w:rPr>
          <w:spacing w:val="40"/>
        </w:rPr>
        <w:t> </w:t>
      </w:r>
      <w:r>
        <w:rPr/>
        <w:t>de</w:t>
      </w:r>
      <w:r>
        <w:rPr>
          <w:spacing w:val="40"/>
        </w:rPr>
        <w:t> </w:t>
      </w:r>
      <w:r>
        <w:rPr/>
        <w:t>adeudos</w:t>
      </w:r>
      <w:r>
        <w:rPr>
          <w:spacing w:val="40"/>
        </w:rPr>
        <w:t> </w:t>
      </w:r>
      <w:r>
        <w:rPr/>
        <w:t>que</w:t>
      </w:r>
      <w:r>
        <w:rPr>
          <w:spacing w:val="40"/>
        </w:rPr>
        <w:t> </w:t>
      </w:r>
      <w:r>
        <w:rPr/>
        <w:t>se generen a partir del 1 de enero de 2008.</w:t>
      </w:r>
    </w:p>
    <w:p>
      <w:pPr>
        <w:pStyle w:val="BodyText"/>
        <w:spacing w:before="229"/>
        <w:ind w:left="1173" w:right="142"/>
        <w:jc w:val="both"/>
      </w:pPr>
      <w:r>
        <w:rPr/>
        <w:t>Sin perjuicio de lo señalado en el párrafo anterior y de conformidad con las reglas que al efecto emita la Secretaría de Hacienda y Crédito Público, la Comisión Nacional del Agua podrá aplicar los pagos corrientes que reciba de los municipios o Demarcaciones Territoriales por concepto de derechos y aprovechamientos de agua, a la disminución de adeudos históricos que registren tales conceptos al cierre del mes de diciembre de 2007. Lo anterior, siempre y cuando las entidades a las que pertenezcan los municipios o Demarcaciones Territoriales contemplen</w:t>
      </w:r>
      <w:r>
        <w:rPr>
          <w:spacing w:val="-2"/>
        </w:rPr>
        <w:t> </w:t>
      </w:r>
      <w:r>
        <w:rPr/>
        <w:t>en</w:t>
      </w:r>
      <w:r>
        <w:rPr>
          <w:spacing w:val="-2"/>
        </w:rPr>
        <w:t> </w:t>
      </w:r>
      <w:r>
        <w:rPr/>
        <w:t>su</w:t>
      </w:r>
      <w:r>
        <w:rPr>
          <w:spacing w:val="-1"/>
        </w:rPr>
        <w:t> </w:t>
      </w:r>
      <w:r>
        <w:rPr/>
        <w:t>legislación</w:t>
      </w:r>
      <w:r>
        <w:rPr>
          <w:spacing w:val="-2"/>
        </w:rPr>
        <w:t> </w:t>
      </w:r>
      <w:r>
        <w:rPr/>
        <w:t>local</w:t>
      </w:r>
      <w:r>
        <w:rPr>
          <w:spacing w:val="-2"/>
        </w:rPr>
        <w:t> </w:t>
      </w:r>
      <w:r>
        <w:rPr/>
        <w:t>el</w:t>
      </w:r>
      <w:r>
        <w:rPr>
          <w:spacing w:val="-2"/>
        </w:rPr>
        <w:t> </w:t>
      </w:r>
      <w:r>
        <w:rPr/>
        <w:t>destino y</w:t>
      </w:r>
      <w:r>
        <w:rPr>
          <w:spacing w:val="-4"/>
        </w:rPr>
        <w:t> </w:t>
      </w:r>
      <w:r>
        <w:rPr/>
        <w:t>afectación</w:t>
      </w:r>
      <w:r>
        <w:rPr>
          <w:spacing w:val="-2"/>
        </w:rPr>
        <w:t> </w:t>
      </w:r>
      <w:r>
        <w:rPr/>
        <w:t>de</w:t>
      </w:r>
      <w:r>
        <w:rPr>
          <w:spacing w:val="-1"/>
        </w:rPr>
        <w:t> </w:t>
      </w:r>
      <w:r>
        <w:rPr/>
        <w:t>los recursos del Fondo de Aportaciones para el Fortalecimiento de los Municipios y de las Demarcaciones Territoriales del Distrito Federal para el pago de dichos derechos o aprovechamientos, en términos de lo previsto en el artículo 51 de la Ley de Coordinación </w:t>
      </w:r>
      <w:r>
        <w:rPr>
          <w:spacing w:val="-2"/>
        </w:rPr>
        <w:t>Fiscal.</w:t>
      </w:r>
    </w:p>
    <w:p>
      <w:pPr>
        <w:pStyle w:val="BodyText"/>
        <w:spacing w:after="0"/>
        <w:jc w:val="both"/>
        <w:sectPr>
          <w:pgSz w:w="12250" w:h="15850"/>
          <w:pgMar w:header="724" w:footer="712" w:top="1880" w:bottom="900" w:left="1417" w:right="1275"/>
        </w:sectPr>
      </w:pPr>
    </w:p>
    <w:p>
      <w:pPr>
        <w:pStyle w:val="BodyText"/>
        <w:spacing w:before="65"/>
      </w:pPr>
    </w:p>
    <w:p>
      <w:pPr>
        <w:pStyle w:val="ListParagraph"/>
        <w:numPr>
          <w:ilvl w:val="0"/>
          <w:numId w:val="20"/>
        </w:numPr>
        <w:tabs>
          <w:tab w:pos="1173" w:val="left" w:leader="none"/>
        </w:tabs>
        <w:spacing w:line="242" w:lineRule="auto" w:before="0" w:after="0"/>
        <w:ind w:left="1173" w:right="147" w:hanging="812"/>
        <w:jc w:val="both"/>
        <w:rPr>
          <w:sz w:val="20"/>
        </w:rPr>
      </w:pPr>
      <w:r>
        <w:rPr>
          <w:sz w:val="20"/>
        </w:rPr>
        <w:t>El artículo 4o.-A de la Ley de Coordinación Fiscal entrará en vigor a los quince días</w:t>
      </w:r>
      <w:r>
        <w:rPr>
          <w:spacing w:val="40"/>
          <w:sz w:val="20"/>
        </w:rPr>
        <w:t> </w:t>
      </w:r>
      <w:r>
        <w:rPr>
          <w:sz w:val="20"/>
        </w:rPr>
        <w:t>naturales siguientes a la publicación del presente Decreto en el Diario Oficial de la </w:t>
      </w:r>
      <w:r>
        <w:rPr>
          <w:spacing w:val="-2"/>
          <w:sz w:val="20"/>
        </w:rPr>
        <w:t>Federación.</w:t>
      </w:r>
    </w:p>
    <w:p>
      <w:pPr>
        <w:pStyle w:val="BodyText"/>
        <w:spacing w:before="225"/>
        <w:ind w:left="1173" w:right="140"/>
        <w:jc w:val="both"/>
      </w:pPr>
      <w:r>
        <w:rPr/>
        <w:t>Las entidades federativas que celebren los convenios de coordinación a que se refiere el artículo 4o.-A, fracción I de la Ley de Coordinación Fiscal, dentro de los 30 días naturales siguientes a la fecha de entrada en vigor de dicha fracción, recibirán los recursos previstos en el mismo desde el inicio de la aplicación de las cuotas correspondientes y, en caso contrario,</w:t>
      </w:r>
      <w:r>
        <w:rPr>
          <w:spacing w:val="-1"/>
        </w:rPr>
        <w:t> </w:t>
      </w:r>
      <w:r>
        <w:rPr/>
        <w:t>sobre</w:t>
      </w:r>
      <w:r>
        <w:rPr>
          <w:spacing w:val="-1"/>
        </w:rPr>
        <w:t> </w:t>
      </w:r>
      <w:r>
        <w:rPr/>
        <w:t>la</w:t>
      </w:r>
      <w:r>
        <w:rPr>
          <w:spacing w:val="-1"/>
        </w:rPr>
        <w:t> </w:t>
      </w:r>
      <w:r>
        <w:rPr/>
        <w:t>recaudación</w:t>
      </w:r>
      <w:r>
        <w:rPr>
          <w:spacing w:val="-2"/>
        </w:rPr>
        <w:t> </w:t>
      </w:r>
      <w:r>
        <w:rPr/>
        <w:t>obtenida</w:t>
      </w:r>
      <w:r>
        <w:rPr>
          <w:spacing w:val="-2"/>
        </w:rPr>
        <w:t> </w:t>
      </w:r>
      <w:r>
        <w:rPr/>
        <w:t>a</w:t>
      </w:r>
      <w:r>
        <w:rPr>
          <w:spacing w:val="-1"/>
        </w:rPr>
        <w:t> </w:t>
      </w:r>
      <w:r>
        <w:rPr/>
        <w:t>partir del</w:t>
      </w:r>
      <w:r>
        <w:rPr>
          <w:spacing w:val="-2"/>
        </w:rPr>
        <w:t> </w:t>
      </w:r>
      <w:r>
        <w:rPr/>
        <w:t>mes siguiente</w:t>
      </w:r>
      <w:r>
        <w:rPr>
          <w:spacing w:val="-1"/>
        </w:rPr>
        <w:t> </w:t>
      </w:r>
      <w:r>
        <w:rPr/>
        <w:t>a</w:t>
      </w:r>
      <w:r>
        <w:rPr>
          <w:spacing w:val="-1"/>
        </w:rPr>
        <w:t> </w:t>
      </w:r>
      <w:r>
        <w:rPr/>
        <w:t>aquél</w:t>
      </w:r>
      <w:r>
        <w:rPr>
          <w:spacing w:val="-2"/>
        </w:rPr>
        <w:t> </w:t>
      </w:r>
      <w:r>
        <w:rPr/>
        <w:t>en</w:t>
      </w:r>
      <w:r>
        <w:rPr>
          <w:spacing w:val="-2"/>
        </w:rPr>
        <w:t> </w:t>
      </w:r>
      <w:r>
        <w:rPr/>
        <w:t>que se</w:t>
      </w:r>
      <w:r>
        <w:rPr>
          <w:spacing w:val="-1"/>
        </w:rPr>
        <w:t> </w:t>
      </w:r>
      <w:r>
        <w:rPr/>
        <w:t>celebre el convenio de coordinación.</w:t>
      </w:r>
    </w:p>
    <w:p>
      <w:pPr>
        <w:pStyle w:val="BodyText"/>
        <w:spacing w:before="1"/>
      </w:pPr>
    </w:p>
    <w:p>
      <w:pPr>
        <w:pStyle w:val="BodyText"/>
        <w:ind w:left="1173" w:right="139"/>
        <w:jc w:val="both"/>
      </w:pPr>
      <w:r>
        <w:rPr>
          <w:color w:val="585858"/>
        </w:rPr>
        <w:t>[El 1 de enero de 2015, quedará derogada la fracción I del artículo 4o.-A de la Ley de Coordinación Fiscal. A partir de esa fecha, las cuotas federales aplicables a la venta final de gasolinas y diesel, previstas en el artículo 2o.-A, fracción II, de la Ley del Impuesto Especial sobre Producción y Servicios, se disminuirán en 9/11. El remanente de 2/11 se destinará al Fondo de Compensación a que se refiere la fracción II del primer artículo mencionado.]</w:t>
      </w:r>
    </w:p>
    <w:p>
      <w:pPr>
        <w:spacing w:line="181" w:lineRule="exact" w:before="0"/>
        <w:ind w:left="375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12-12-2011.</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que</w:t>
      </w:r>
      <w:r>
        <w:rPr>
          <w:rFonts w:ascii="Times New Roman" w:hAnsi="Times New Roman"/>
          <w:i/>
          <w:color w:val="0000FF"/>
          <w:spacing w:val="-6"/>
          <w:sz w:val="16"/>
        </w:rPr>
        <w:t> </w:t>
      </w:r>
      <w:r>
        <w:rPr>
          <w:rFonts w:ascii="Times New Roman" w:hAnsi="Times New Roman"/>
          <w:i/>
          <w:color w:val="0000FF"/>
          <w:sz w:val="16"/>
        </w:rPr>
        <w:t>“queda</w:t>
      </w:r>
      <w:r>
        <w:rPr>
          <w:rFonts w:ascii="Times New Roman" w:hAnsi="Times New Roman"/>
          <w:i/>
          <w:color w:val="0000FF"/>
          <w:spacing w:val="-4"/>
          <w:sz w:val="16"/>
        </w:rPr>
        <w:t> </w:t>
      </w:r>
      <w:r>
        <w:rPr>
          <w:rFonts w:ascii="Times New Roman" w:hAnsi="Times New Roman"/>
          <w:i/>
          <w:color w:val="0000FF"/>
          <w:sz w:val="16"/>
        </w:rPr>
        <w:t>sin</w:t>
      </w:r>
      <w:r>
        <w:rPr>
          <w:rFonts w:ascii="Times New Roman" w:hAnsi="Times New Roman"/>
          <w:i/>
          <w:color w:val="0000FF"/>
          <w:spacing w:val="-6"/>
          <w:sz w:val="16"/>
        </w:rPr>
        <w:t> </w:t>
      </w:r>
      <w:r>
        <w:rPr>
          <w:rFonts w:ascii="Times New Roman" w:hAnsi="Times New Roman"/>
          <w:i/>
          <w:color w:val="0000FF"/>
          <w:sz w:val="16"/>
        </w:rPr>
        <w:t>efecto”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20"/>
        </w:numPr>
        <w:tabs>
          <w:tab w:pos="1171" w:val="left" w:leader="none"/>
          <w:tab w:pos="1173" w:val="left" w:leader="none"/>
        </w:tabs>
        <w:spacing w:line="240" w:lineRule="auto" w:before="0" w:after="0"/>
        <w:ind w:left="1173" w:right="140" w:hanging="812"/>
        <w:jc w:val="both"/>
        <w:rPr>
          <w:sz w:val="20"/>
        </w:rPr>
      </w:pPr>
      <w:r>
        <w:rPr>
          <w:sz w:val="20"/>
        </w:rPr>
        <w:t>Hasta en tanto la Secretaría de Educación Pública determine el índice de calidad educativa</w:t>
      </w:r>
      <w:r>
        <w:rPr>
          <w:spacing w:val="40"/>
          <w:sz w:val="20"/>
        </w:rPr>
        <w:t> </w:t>
      </w:r>
      <w:r>
        <w:rPr>
          <w:sz w:val="20"/>
        </w:rPr>
        <w:t>a que se refiere la variable IC</w:t>
      </w:r>
      <w:r>
        <w:rPr>
          <w:position w:val="-3"/>
          <w:sz w:val="20"/>
        </w:rPr>
        <w:t>i,t </w:t>
      </w:r>
      <w:r>
        <w:rPr>
          <w:sz w:val="20"/>
        </w:rPr>
        <w:t>contenida en el artículo 27 de esta Ley, el porcentaje asignado a este coeficiente se adicionará al coeficiente de la matrícula.</w:t>
      </w:r>
    </w:p>
    <w:p>
      <w:pPr>
        <w:pStyle w:val="BodyText"/>
        <w:spacing w:before="3"/>
      </w:pPr>
    </w:p>
    <w:p>
      <w:pPr>
        <w:pStyle w:val="BodyText"/>
        <w:ind w:left="1173" w:right="140"/>
        <w:jc w:val="both"/>
      </w:pPr>
      <w:r>
        <w:rPr/>
        <w:t>A partir de la entrada en vigor de este Decreto, la Auditoría Superior de la Federación, en coordinación con la Secretaría de la Función Pública y la Secretaría de Educación Pública, así como con los órganos de fiscalización competentes de las entidades federativas, deberá practicar</w:t>
      </w:r>
      <w:r>
        <w:rPr>
          <w:spacing w:val="-1"/>
        </w:rPr>
        <w:t> </w:t>
      </w:r>
      <w:r>
        <w:rPr/>
        <w:t>auditorías</w:t>
      </w:r>
      <w:r>
        <w:rPr>
          <w:spacing w:val="-1"/>
        </w:rPr>
        <w:t> </w:t>
      </w:r>
      <w:r>
        <w:rPr/>
        <w:t>al</w:t>
      </w:r>
      <w:r>
        <w:rPr>
          <w:spacing w:val="-3"/>
        </w:rPr>
        <w:t> </w:t>
      </w:r>
      <w:r>
        <w:rPr/>
        <w:t>ejercicio</w:t>
      </w:r>
      <w:r>
        <w:rPr>
          <w:spacing w:val="-2"/>
        </w:rPr>
        <w:t> </w:t>
      </w:r>
      <w:r>
        <w:rPr/>
        <w:t>de</w:t>
      </w:r>
      <w:r>
        <w:rPr>
          <w:spacing w:val="-3"/>
        </w:rPr>
        <w:t> </w:t>
      </w:r>
      <w:r>
        <w:rPr/>
        <w:t>los</w:t>
      </w:r>
      <w:r>
        <w:rPr>
          <w:spacing w:val="-1"/>
        </w:rPr>
        <w:t> </w:t>
      </w:r>
      <w:r>
        <w:rPr/>
        <w:t>recursos</w:t>
      </w:r>
      <w:r>
        <w:rPr>
          <w:spacing w:val="-1"/>
        </w:rPr>
        <w:t> </w:t>
      </w:r>
      <w:r>
        <w:rPr/>
        <w:t>del</w:t>
      </w:r>
      <w:r>
        <w:rPr>
          <w:spacing w:val="-3"/>
        </w:rPr>
        <w:t> </w:t>
      </w:r>
      <w:r>
        <w:rPr/>
        <w:t>Fondo</w:t>
      </w:r>
      <w:r>
        <w:rPr>
          <w:spacing w:val="-3"/>
        </w:rPr>
        <w:t> </w:t>
      </w:r>
      <w:r>
        <w:rPr/>
        <w:t>de Aportaciones</w:t>
      </w:r>
      <w:r>
        <w:rPr>
          <w:spacing w:val="-1"/>
        </w:rPr>
        <w:t> </w:t>
      </w:r>
      <w:r>
        <w:rPr/>
        <w:t>para</w:t>
      </w:r>
      <w:r>
        <w:rPr>
          <w:spacing w:val="-2"/>
        </w:rPr>
        <w:t> </w:t>
      </w:r>
      <w:r>
        <w:rPr/>
        <w:t>la Educación Básica y Normal correspondientes al año 2007. Asimismo, la Auditoría Superior de la Federación auditará a la Secretaría de Educación Pública en relación con el ejercicio de los citados recursos.</w:t>
      </w:r>
      <w:r>
        <w:rPr>
          <w:spacing w:val="-1"/>
        </w:rPr>
        <w:t> </w:t>
      </w:r>
      <w:r>
        <w:rPr/>
        <w:t>En</w:t>
      </w:r>
      <w:r>
        <w:rPr>
          <w:spacing w:val="-1"/>
        </w:rPr>
        <w:t> </w:t>
      </w:r>
      <w:r>
        <w:rPr/>
        <w:t>ambos casos se</w:t>
      </w:r>
      <w:r>
        <w:rPr>
          <w:spacing w:val="-1"/>
        </w:rPr>
        <w:t> </w:t>
      </w:r>
      <w:r>
        <w:rPr/>
        <w:t>entregará</w:t>
      </w:r>
      <w:r>
        <w:rPr>
          <w:spacing w:val="-1"/>
        </w:rPr>
        <w:t> </w:t>
      </w:r>
      <w:r>
        <w:rPr/>
        <w:t>un</w:t>
      </w:r>
      <w:r>
        <w:rPr>
          <w:spacing w:val="-2"/>
        </w:rPr>
        <w:t> </w:t>
      </w:r>
      <w:r>
        <w:rPr/>
        <w:t>informe</w:t>
      </w:r>
      <w:r>
        <w:rPr>
          <w:spacing w:val="-1"/>
        </w:rPr>
        <w:t> </w:t>
      </w:r>
      <w:r>
        <w:rPr/>
        <w:t>en</w:t>
      </w:r>
      <w:r>
        <w:rPr>
          <w:spacing w:val="-2"/>
        </w:rPr>
        <w:t> </w:t>
      </w:r>
      <w:r>
        <w:rPr/>
        <w:t>un</w:t>
      </w:r>
      <w:r>
        <w:rPr>
          <w:spacing w:val="-2"/>
        </w:rPr>
        <w:t> </w:t>
      </w:r>
      <w:r>
        <w:rPr/>
        <w:t>plazo</w:t>
      </w:r>
      <w:r>
        <w:rPr>
          <w:spacing w:val="-1"/>
        </w:rPr>
        <w:t> </w:t>
      </w:r>
      <w:r>
        <w:rPr/>
        <w:t>máximo</w:t>
      </w:r>
      <w:r>
        <w:rPr>
          <w:spacing w:val="-3"/>
        </w:rPr>
        <w:t> </w:t>
      </w:r>
      <w:r>
        <w:rPr/>
        <w:t>de</w:t>
      </w:r>
      <w:r>
        <w:rPr>
          <w:spacing w:val="-1"/>
        </w:rPr>
        <w:t> </w:t>
      </w:r>
      <w:r>
        <w:rPr/>
        <w:t>6</w:t>
      </w:r>
      <w:r>
        <w:rPr>
          <w:spacing w:val="-1"/>
        </w:rPr>
        <w:t> </w:t>
      </w:r>
      <w:r>
        <w:rPr/>
        <w:t>meses, contados a partir de la entrada en vigor de este Decreto, en el que se contendrán las medidas a adoptar.</w:t>
      </w:r>
    </w:p>
    <w:p>
      <w:pPr>
        <w:pStyle w:val="ListParagraph"/>
        <w:numPr>
          <w:ilvl w:val="0"/>
          <w:numId w:val="20"/>
        </w:numPr>
        <w:tabs>
          <w:tab w:pos="1173" w:val="left" w:leader="none"/>
        </w:tabs>
        <w:spacing w:line="240" w:lineRule="auto" w:before="227" w:after="0"/>
        <w:ind w:left="1173" w:right="147" w:hanging="812"/>
        <w:jc w:val="both"/>
        <w:rPr>
          <w:sz w:val="20"/>
        </w:rPr>
      </w:pPr>
      <w:r>
        <w:rPr>
          <w:sz w:val="20"/>
        </w:rPr>
        <w:t>El Ejecutivo Federal deberá diseñar un programa para la regularización de los adeudos que tengan con la Federación, las entidades federativas, municipios y demarcaciones</w:t>
      </w:r>
      <w:r>
        <w:rPr>
          <w:spacing w:val="40"/>
          <w:sz w:val="20"/>
        </w:rPr>
        <w:t> </w:t>
      </w:r>
      <w:r>
        <w:rPr>
          <w:sz w:val="20"/>
        </w:rPr>
        <w:t>territoriales en el caso del Distrito Federal, incluyendo sus organismos descentralizados, por concepto de impuesto sobre la renta a cargo de sus trabajadores.</w:t>
      </w:r>
    </w:p>
    <w:p>
      <w:pPr>
        <w:pStyle w:val="BodyText"/>
        <w:spacing w:before="2"/>
      </w:pPr>
    </w:p>
    <w:p>
      <w:pPr>
        <w:pStyle w:val="BodyText"/>
        <w:ind w:left="1173" w:right="151"/>
        <w:jc w:val="both"/>
      </w:pPr>
      <w:r>
        <w:rPr/>
        <w:t>Dicho programa</w:t>
      </w:r>
      <w:r>
        <w:rPr>
          <w:spacing w:val="-2"/>
        </w:rPr>
        <w:t> </w:t>
      </w:r>
      <w:r>
        <w:rPr/>
        <w:t>deberá incluir la</w:t>
      </w:r>
      <w:r>
        <w:rPr>
          <w:spacing w:val="-2"/>
        </w:rPr>
        <w:t> </w:t>
      </w:r>
      <w:r>
        <w:rPr/>
        <w:t>regularización de los adeudos que tenga la</w:t>
      </w:r>
      <w:r>
        <w:rPr>
          <w:spacing w:val="-2"/>
        </w:rPr>
        <w:t> </w:t>
      </w:r>
      <w:r>
        <w:rPr/>
        <w:t>Federación</w:t>
      </w:r>
      <w:r>
        <w:rPr>
          <w:spacing w:val="-3"/>
        </w:rPr>
        <w:t> </w:t>
      </w:r>
      <w:r>
        <w:rPr/>
        <w:t>con las entidades federativas y sus municipios, incluyendo sus organismos descentralizados.</w:t>
      </w:r>
    </w:p>
    <w:p>
      <w:pPr>
        <w:pStyle w:val="BodyText"/>
      </w:pPr>
    </w:p>
    <w:p>
      <w:pPr>
        <w:pStyle w:val="BodyText"/>
        <w:ind w:left="1173" w:right="149"/>
        <w:jc w:val="both"/>
      </w:pPr>
      <w:r>
        <w:rPr/>
        <w:t>El programa deberá considerar un finiquito de adeudo entre los 3 niveles de gobierno </w:t>
      </w:r>
      <w:r>
        <w:rPr>
          <w:spacing w:val="-2"/>
        </w:rPr>
        <w:t>referidos.</w:t>
      </w:r>
    </w:p>
    <w:p>
      <w:pPr>
        <w:pStyle w:val="ListParagraph"/>
        <w:numPr>
          <w:ilvl w:val="0"/>
          <w:numId w:val="20"/>
        </w:numPr>
        <w:tabs>
          <w:tab w:pos="1171" w:val="left" w:leader="none"/>
          <w:tab w:pos="1173" w:val="left" w:leader="none"/>
        </w:tabs>
        <w:spacing w:line="240" w:lineRule="auto" w:before="229" w:after="0"/>
        <w:ind w:left="1173" w:right="139" w:hanging="812"/>
        <w:jc w:val="both"/>
        <w:rPr>
          <w:sz w:val="20"/>
        </w:rPr>
      </w:pPr>
      <w:r>
        <w:rPr>
          <w:sz w:val="20"/>
        </w:rPr>
        <w:t>El impuesto sobre adquisición de inmuebles no computará para efectos del cálculo de los dos coeficientes asociados a la recaudación local, contenidos en la fórmula de distribución del Fondo General de Participaciones prevista en el artículo 2o. de esta Ley, hasta en tanto la Comisión Permanente de Funcionarios Fiscales no determine que existe información certera y verificable en relación con dicha contribución.</w:t>
      </w:r>
    </w:p>
    <w:p>
      <w:pPr>
        <w:pStyle w:val="BodyText"/>
      </w:pPr>
    </w:p>
    <w:p>
      <w:pPr>
        <w:pStyle w:val="ListParagraph"/>
        <w:numPr>
          <w:ilvl w:val="0"/>
          <w:numId w:val="20"/>
        </w:numPr>
        <w:tabs>
          <w:tab w:pos="1171" w:val="left" w:leader="none"/>
          <w:tab w:pos="1173" w:val="left" w:leader="none"/>
        </w:tabs>
        <w:spacing w:line="240" w:lineRule="auto" w:before="0" w:after="0"/>
        <w:ind w:left="1173" w:right="146" w:hanging="812"/>
        <w:jc w:val="both"/>
        <w:rPr>
          <w:sz w:val="20"/>
        </w:rPr>
      </w:pPr>
      <w:r>
        <w:rPr>
          <w:sz w:val="20"/>
        </w:rPr>
        <w:t>El Instituto Nacional de Estadística, Geografía e Informática, a más tardar a los 60 días contados a partir de la entrada en vigor de este Decreto, deberá notificar a la Cámara de Diputados del Congreso de la Unión, la metodología a utilizar para estimar los niveles de población por entidad federativa. Dicho Instituto deberá rendir un informe trimestral a dicha</w:t>
      </w:r>
    </w:p>
    <w:p>
      <w:pPr>
        <w:pStyle w:val="ListParagraph"/>
        <w:spacing w:after="0" w:line="240" w:lineRule="auto"/>
        <w:jc w:val="both"/>
        <w:rPr>
          <w:sz w:val="20"/>
        </w:rPr>
        <w:sectPr>
          <w:pgSz w:w="12250" w:h="15850"/>
          <w:pgMar w:header="724" w:footer="712" w:top="1880" w:bottom="900" w:left="1417" w:right="1275"/>
        </w:sectPr>
      </w:pPr>
    </w:p>
    <w:p>
      <w:pPr>
        <w:pStyle w:val="BodyText"/>
        <w:spacing w:before="67"/>
      </w:pPr>
    </w:p>
    <w:p>
      <w:pPr>
        <w:pStyle w:val="BodyText"/>
        <w:ind w:left="1173"/>
      </w:pPr>
      <w:r>
        <w:rPr/>
        <w:t>Cámara,</w:t>
      </w:r>
      <w:r>
        <w:rPr>
          <w:spacing w:val="35"/>
        </w:rPr>
        <w:t> </w:t>
      </w:r>
      <w:r>
        <w:rPr/>
        <w:t>elaborado</w:t>
      </w:r>
      <w:r>
        <w:rPr>
          <w:spacing w:val="34"/>
        </w:rPr>
        <w:t> </w:t>
      </w:r>
      <w:r>
        <w:rPr/>
        <w:t>conforme</w:t>
      </w:r>
      <w:r>
        <w:rPr>
          <w:spacing w:val="34"/>
        </w:rPr>
        <w:t> </w:t>
      </w:r>
      <w:r>
        <w:rPr/>
        <w:t>a</w:t>
      </w:r>
      <w:r>
        <w:rPr>
          <w:spacing w:val="34"/>
        </w:rPr>
        <w:t> </w:t>
      </w:r>
      <w:r>
        <w:rPr/>
        <w:t>dicha</w:t>
      </w:r>
      <w:r>
        <w:rPr>
          <w:spacing w:val="34"/>
        </w:rPr>
        <w:t> </w:t>
      </w:r>
      <w:r>
        <w:rPr/>
        <w:t>metodología</w:t>
      </w:r>
      <w:r>
        <w:rPr>
          <w:spacing w:val="34"/>
        </w:rPr>
        <w:t> </w:t>
      </w:r>
      <w:r>
        <w:rPr/>
        <w:t>sobre</w:t>
      </w:r>
      <w:r>
        <w:rPr>
          <w:spacing w:val="34"/>
        </w:rPr>
        <w:t> </w:t>
      </w:r>
      <w:r>
        <w:rPr/>
        <w:t>el</w:t>
      </w:r>
      <w:r>
        <w:rPr>
          <w:spacing w:val="34"/>
        </w:rPr>
        <w:t> </w:t>
      </w:r>
      <w:r>
        <w:rPr/>
        <w:t>comportamiento</w:t>
      </w:r>
      <w:r>
        <w:rPr>
          <w:spacing w:val="39"/>
        </w:rPr>
        <w:t> </w:t>
      </w:r>
      <w:r>
        <w:rPr/>
        <w:t>y</w:t>
      </w:r>
      <w:r>
        <w:rPr>
          <w:spacing w:val="40"/>
        </w:rPr>
        <w:t> </w:t>
      </w:r>
      <w:r>
        <w:rPr/>
        <w:t>resultados obtenidos al respecto.</w:t>
      </w:r>
    </w:p>
    <w:p>
      <w:pPr>
        <w:pStyle w:val="ListParagraph"/>
        <w:numPr>
          <w:ilvl w:val="0"/>
          <w:numId w:val="20"/>
        </w:numPr>
        <w:tabs>
          <w:tab w:pos="1170" w:val="left" w:leader="none"/>
          <w:tab w:pos="1173" w:val="left" w:leader="none"/>
        </w:tabs>
        <w:spacing w:line="242" w:lineRule="auto" w:before="227" w:after="0"/>
        <w:ind w:left="1173" w:right="147" w:hanging="812"/>
        <w:jc w:val="both"/>
        <w:rPr>
          <w:sz w:val="20"/>
        </w:rPr>
      </w:pPr>
      <w:r>
        <w:rPr>
          <w:sz w:val="20"/>
        </w:rPr>
        <w:t>La</w:t>
      </w:r>
      <w:r>
        <w:rPr>
          <w:spacing w:val="-3"/>
          <w:sz w:val="20"/>
        </w:rPr>
        <w:t> </w:t>
      </w:r>
      <w:r>
        <w:rPr>
          <w:sz w:val="20"/>
        </w:rPr>
        <w:t>Secretaría</w:t>
      </w:r>
      <w:r>
        <w:rPr>
          <w:spacing w:val="-4"/>
          <w:sz w:val="20"/>
        </w:rPr>
        <w:t> </w:t>
      </w:r>
      <w:r>
        <w:rPr>
          <w:sz w:val="20"/>
        </w:rPr>
        <w:t>de</w:t>
      </w:r>
      <w:r>
        <w:rPr>
          <w:spacing w:val="-4"/>
          <w:sz w:val="20"/>
        </w:rPr>
        <w:t> </w:t>
      </w:r>
      <w:r>
        <w:rPr>
          <w:sz w:val="20"/>
        </w:rPr>
        <w:t>Hacienda y</w:t>
      </w:r>
      <w:r>
        <w:rPr>
          <w:spacing w:val="-5"/>
          <w:sz w:val="20"/>
        </w:rPr>
        <w:t> </w:t>
      </w:r>
      <w:r>
        <w:rPr>
          <w:sz w:val="20"/>
        </w:rPr>
        <w:t>Crédito</w:t>
      </w:r>
      <w:r>
        <w:rPr>
          <w:spacing w:val="-2"/>
          <w:sz w:val="20"/>
        </w:rPr>
        <w:t> </w:t>
      </w:r>
      <w:r>
        <w:rPr>
          <w:sz w:val="20"/>
        </w:rPr>
        <w:t>Público</w:t>
      </w:r>
      <w:r>
        <w:rPr>
          <w:spacing w:val="-4"/>
          <w:sz w:val="20"/>
        </w:rPr>
        <w:t> </w:t>
      </w:r>
      <w:r>
        <w:rPr>
          <w:sz w:val="20"/>
        </w:rPr>
        <w:t>evaluará</w:t>
      </w:r>
      <w:r>
        <w:rPr>
          <w:spacing w:val="-2"/>
          <w:sz w:val="20"/>
        </w:rPr>
        <w:t> </w:t>
      </w:r>
      <w:r>
        <w:rPr>
          <w:sz w:val="20"/>
        </w:rPr>
        <w:t>la</w:t>
      </w:r>
      <w:r>
        <w:rPr>
          <w:spacing w:val="-4"/>
          <w:sz w:val="20"/>
        </w:rPr>
        <w:t> </w:t>
      </w:r>
      <w:r>
        <w:rPr>
          <w:sz w:val="20"/>
        </w:rPr>
        <w:t>política</w:t>
      </w:r>
      <w:r>
        <w:rPr>
          <w:spacing w:val="-2"/>
          <w:sz w:val="20"/>
        </w:rPr>
        <w:t> </w:t>
      </w:r>
      <w:r>
        <w:rPr>
          <w:sz w:val="20"/>
        </w:rPr>
        <w:t>de</w:t>
      </w:r>
      <w:r>
        <w:rPr>
          <w:spacing w:val="-3"/>
          <w:sz w:val="20"/>
        </w:rPr>
        <w:t> </w:t>
      </w:r>
      <w:r>
        <w:rPr>
          <w:sz w:val="20"/>
        </w:rPr>
        <w:t>homologación de</w:t>
      </w:r>
      <w:r>
        <w:rPr>
          <w:spacing w:val="-5"/>
          <w:sz w:val="20"/>
        </w:rPr>
        <w:t> </w:t>
      </w:r>
      <w:r>
        <w:rPr>
          <w:sz w:val="20"/>
        </w:rPr>
        <w:t>precios de las gasolinas y diesel aplicada en la franja fronteriza norte tomando en consideración los parámetros y la estructura tributaria vigentes.</w:t>
      </w:r>
    </w:p>
    <w:p>
      <w:pPr>
        <w:pStyle w:val="Heading1"/>
        <w:spacing w:before="223"/>
        <w:ind w:right="1298"/>
      </w:pPr>
      <w:r>
        <w:rPr>
          <w:spacing w:val="-2"/>
        </w:rPr>
        <w:t>TRANSITORIO</w:t>
      </w:r>
    </w:p>
    <w:p>
      <w:pPr>
        <w:pStyle w:val="BodyText"/>
        <w:spacing w:line="242" w:lineRule="auto" w:before="231"/>
        <w:ind w:left="1" w:right="152" w:firstLine="288"/>
        <w:jc w:val="both"/>
      </w:pPr>
      <w:r>
        <w:rPr>
          <w:rFonts w:ascii="Arial" w:hAnsi="Arial"/>
          <w:b/>
        </w:rPr>
        <w:t>ÚNICO.- </w:t>
      </w:r>
      <w:r>
        <w:rPr/>
        <w:t>El presente Decreto entrará en vigor el 1 de enero de 2008, salvo por lo que respecta a los artículos Segundo, fracción III y Sexto del mismo, los cuales iniciarán su vigencia a los quince días siguientes a la fecha de publicación de este Decreto en el Diario Oficial de la Federación.</w:t>
      </w:r>
    </w:p>
    <w:p>
      <w:pPr>
        <w:spacing w:before="223"/>
        <w:ind w:left="1" w:right="140" w:firstLine="288"/>
        <w:jc w:val="both"/>
        <w:rPr>
          <w:rFonts w:ascii="Arial" w:hAnsi="Arial"/>
          <w:b/>
          <w:sz w:val="20"/>
        </w:rPr>
      </w:pPr>
      <w:r>
        <w:rPr>
          <w:sz w:val="20"/>
        </w:rPr>
        <w:t>México, D.F., a 14 de septiembre de 2007.- Dip. </w:t>
      </w:r>
      <w:r>
        <w:rPr>
          <w:rFonts w:ascii="Arial" w:hAnsi="Arial"/>
          <w:b/>
          <w:sz w:val="20"/>
        </w:rPr>
        <w:t>Ruth Zavaleta Salgado</w:t>
      </w:r>
      <w:r>
        <w:rPr>
          <w:sz w:val="20"/>
        </w:rPr>
        <w:t>, Presidenta.- Sen. </w:t>
      </w:r>
      <w:r>
        <w:rPr>
          <w:rFonts w:ascii="Arial" w:hAnsi="Arial"/>
          <w:b/>
          <w:sz w:val="20"/>
        </w:rPr>
        <w:t>Santiago Creel Miranda</w:t>
      </w:r>
      <w:r>
        <w:rPr>
          <w:sz w:val="20"/>
        </w:rPr>
        <w:t>, Presidente.- Dip. </w:t>
      </w:r>
      <w:r>
        <w:rPr>
          <w:rFonts w:ascii="Arial" w:hAnsi="Arial"/>
          <w:b/>
          <w:sz w:val="20"/>
        </w:rPr>
        <w:t>Santiago Gustavo Pedro Cortes</w:t>
      </w:r>
      <w:r>
        <w:rPr>
          <w:sz w:val="20"/>
        </w:rPr>
        <w:t>, Secretario.- Sen. </w:t>
      </w:r>
      <w:r>
        <w:rPr>
          <w:rFonts w:ascii="Arial" w:hAnsi="Arial"/>
          <w:b/>
          <w:sz w:val="20"/>
        </w:rPr>
        <w:t>Claudia Sofía Corichi García</w:t>
      </w:r>
      <w:r>
        <w:rPr>
          <w:sz w:val="20"/>
        </w:rPr>
        <w:t>, Secretaria.- Rúbricas.</w:t>
      </w:r>
      <w:r>
        <w:rPr>
          <w:rFonts w:ascii="Arial" w:hAnsi="Arial"/>
          <w:b/>
          <w:sz w:val="20"/>
        </w:rPr>
        <w:t>"</w:t>
      </w:r>
    </w:p>
    <w:p>
      <w:pPr>
        <w:pStyle w:val="BodyText"/>
        <w:spacing w:before="4"/>
        <w:rPr>
          <w:rFonts w:ascii="Arial"/>
          <w:b/>
        </w:rPr>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diecinueve de diciembre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1"/>
        <w:jc w:val="both"/>
      </w:pPr>
      <w:r>
        <w:rPr/>
        <w:t>SENTENCIA dictada en la Acción de Inconstitucionalidad 29/2008 promovida por diputados integrantes de la Sexagésima Legislatura del Congreso de la Unión en contra del propio Congreso y del Presidente Constitucional de los Estados Unidos Mexicanos.</w:t>
      </w:r>
    </w:p>
    <w:p>
      <w:pPr>
        <w:spacing w:before="233"/>
        <w:ind w:left="1156" w:right="1297"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11</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2008</w:t>
      </w:r>
    </w:p>
    <w:p>
      <w:pPr>
        <w:pStyle w:val="BodyText"/>
        <w:spacing w:before="46"/>
        <w:rPr>
          <w:sz w:val="16"/>
        </w:rPr>
      </w:pPr>
    </w:p>
    <w:p>
      <w:pPr>
        <w:pStyle w:val="BodyText"/>
        <w:ind w:left="1" w:right="140"/>
        <w:jc w:val="both"/>
      </w:pPr>
      <w:r>
        <w:rPr/>
        <w:t>Al margen un sello con el Escudo Nacional, que dice: Estados Unidos Mexicanos.- Suprema Corte de Justicia de la Nación.- Secretaría General de Acuerdos.</w:t>
      </w:r>
    </w:p>
    <w:p>
      <w:pPr>
        <w:spacing w:before="229"/>
        <w:ind w:left="5186" w:right="145" w:firstLine="0"/>
        <w:jc w:val="both"/>
        <w:rPr>
          <w:rFonts w:ascii="Arial"/>
          <w:b/>
          <w:sz w:val="20"/>
        </w:rPr>
      </w:pPr>
      <w:r>
        <w:rPr>
          <w:rFonts w:ascii="Arial"/>
          <w:b/>
          <w:sz w:val="20"/>
        </w:rPr>
        <w:t>ACCION DE </w:t>
      </w:r>
      <w:r>
        <w:rPr>
          <w:rFonts w:ascii="Arial"/>
          <w:b/>
          <w:sz w:val="20"/>
        </w:rPr>
        <w:t>INCONSTITUCIONALIDAD </w:t>
      </w:r>
      <w:r>
        <w:rPr>
          <w:rFonts w:ascii="Arial"/>
          <w:b/>
          <w:spacing w:val="-2"/>
          <w:sz w:val="20"/>
        </w:rPr>
        <w:t>29/2008.</w:t>
      </w:r>
    </w:p>
    <w:p>
      <w:pPr>
        <w:spacing w:before="229"/>
        <w:ind w:left="5186" w:right="142" w:firstLine="0"/>
        <w:jc w:val="both"/>
        <w:rPr>
          <w:rFonts w:ascii="Arial"/>
          <w:b/>
          <w:sz w:val="20"/>
        </w:rPr>
      </w:pPr>
      <w:r>
        <w:rPr>
          <w:rFonts w:ascii="Arial"/>
          <w:b/>
          <w:sz w:val="20"/>
        </w:rPr>
        <w:t>PROMOVENTE:</w:t>
      </w:r>
      <w:r>
        <w:rPr>
          <w:rFonts w:ascii="Arial"/>
          <w:b/>
          <w:spacing w:val="-11"/>
          <w:sz w:val="20"/>
        </w:rPr>
        <w:t> </w:t>
      </w:r>
      <w:r>
        <w:rPr>
          <w:rFonts w:ascii="Arial"/>
          <w:b/>
          <w:sz w:val="20"/>
        </w:rPr>
        <w:t>DIPUTADOS</w:t>
      </w:r>
      <w:r>
        <w:rPr>
          <w:rFonts w:ascii="Arial"/>
          <w:b/>
          <w:spacing w:val="-12"/>
          <w:sz w:val="20"/>
        </w:rPr>
        <w:t> </w:t>
      </w:r>
      <w:r>
        <w:rPr>
          <w:rFonts w:ascii="Arial"/>
          <w:b/>
          <w:sz w:val="20"/>
        </w:rPr>
        <w:t>INTEGRANTES DE LA SEXAGESIMA LEGISLATURA DEL CONGRESO DE LA UNION.</w:t>
      </w:r>
    </w:p>
    <w:p>
      <w:pPr>
        <w:tabs>
          <w:tab w:pos="2125" w:val="left" w:leader="none"/>
        </w:tabs>
        <w:spacing w:line="460" w:lineRule="atLeast" w:before="2"/>
        <w:ind w:left="289" w:right="2563" w:firstLine="0"/>
        <w:jc w:val="left"/>
        <w:rPr>
          <w:rFonts w:ascii="Arial"/>
          <w:b/>
          <w:sz w:val="20"/>
        </w:rPr>
      </w:pPr>
      <w:r>
        <w:rPr>
          <w:rFonts w:ascii="Arial"/>
          <w:b/>
          <w:sz w:val="20"/>
        </w:rPr>
        <w:t>PONENTE:</w:t>
      </w:r>
      <w:r>
        <w:rPr>
          <w:rFonts w:ascii="Arial"/>
          <w:b/>
          <w:spacing w:val="-7"/>
          <w:sz w:val="20"/>
        </w:rPr>
        <w:t> </w:t>
      </w:r>
      <w:r>
        <w:rPr>
          <w:rFonts w:ascii="Arial"/>
          <w:b/>
          <w:sz w:val="20"/>
        </w:rPr>
        <w:t>MINISTRO</w:t>
      </w:r>
      <w:r>
        <w:rPr>
          <w:rFonts w:ascii="Arial"/>
          <w:b/>
          <w:spacing w:val="-7"/>
          <w:sz w:val="20"/>
        </w:rPr>
        <w:t> </w:t>
      </w:r>
      <w:r>
        <w:rPr>
          <w:rFonts w:ascii="Arial"/>
          <w:b/>
          <w:sz w:val="20"/>
        </w:rPr>
        <w:t>JOSE</w:t>
      </w:r>
      <w:r>
        <w:rPr>
          <w:rFonts w:ascii="Arial"/>
          <w:b/>
          <w:spacing w:val="-8"/>
          <w:sz w:val="20"/>
        </w:rPr>
        <w:t> </w:t>
      </w:r>
      <w:r>
        <w:rPr>
          <w:rFonts w:ascii="Arial"/>
          <w:b/>
          <w:sz w:val="20"/>
        </w:rPr>
        <w:t>FERNANDO</w:t>
      </w:r>
      <w:r>
        <w:rPr>
          <w:rFonts w:ascii="Arial"/>
          <w:b/>
          <w:spacing w:val="-7"/>
          <w:sz w:val="20"/>
        </w:rPr>
        <w:t> </w:t>
      </w:r>
      <w:r>
        <w:rPr>
          <w:rFonts w:ascii="Arial"/>
          <w:b/>
          <w:sz w:val="20"/>
        </w:rPr>
        <w:t>FRANCO</w:t>
      </w:r>
      <w:r>
        <w:rPr>
          <w:rFonts w:ascii="Arial"/>
          <w:b/>
          <w:spacing w:val="-4"/>
          <w:sz w:val="20"/>
        </w:rPr>
        <w:t> </w:t>
      </w:r>
      <w:r>
        <w:rPr>
          <w:rFonts w:ascii="Arial"/>
          <w:b/>
          <w:sz w:val="20"/>
        </w:rPr>
        <w:t>GONZALEZ</w:t>
      </w:r>
      <w:r>
        <w:rPr>
          <w:rFonts w:ascii="Arial"/>
          <w:b/>
          <w:spacing w:val="-5"/>
          <w:sz w:val="20"/>
        </w:rPr>
        <w:t> </w:t>
      </w:r>
      <w:r>
        <w:rPr>
          <w:rFonts w:ascii="Arial"/>
          <w:b/>
          <w:sz w:val="20"/>
        </w:rPr>
        <w:t>SALAS. </w:t>
      </w:r>
      <w:r>
        <w:rPr>
          <w:rFonts w:ascii="Arial"/>
          <w:b/>
          <w:spacing w:val="-2"/>
          <w:sz w:val="20"/>
        </w:rPr>
        <w:t>SECRETARIOS:</w:t>
      </w:r>
      <w:r>
        <w:rPr>
          <w:rFonts w:ascii="Arial"/>
          <w:b/>
          <w:sz w:val="20"/>
        </w:rPr>
        <w:tab/>
        <w:t>ISRAEL FLORES RODRIGUEZ</w:t>
      </w:r>
    </w:p>
    <w:p>
      <w:pPr>
        <w:spacing w:before="0"/>
        <w:ind w:left="2125" w:right="2886" w:firstLine="0"/>
        <w:jc w:val="left"/>
        <w:rPr>
          <w:rFonts w:ascii="Arial"/>
          <w:b/>
          <w:sz w:val="20"/>
        </w:rPr>
      </w:pPr>
      <w:r>
        <w:rPr>
          <w:rFonts w:ascii="Arial"/>
          <w:b/>
          <w:sz w:val="20"/>
        </w:rPr>
        <w:t>MAURA</w:t>
      </w:r>
      <w:r>
        <w:rPr>
          <w:rFonts w:ascii="Arial"/>
          <w:b/>
          <w:spacing w:val="-10"/>
          <w:sz w:val="20"/>
        </w:rPr>
        <w:t> </w:t>
      </w:r>
      <w:r>
        <w:rPr>
          <w:rFonts w:ascii="Arial"/>
          <w:b/>
          <w:sz w:val="20"/>
        </w:rPr>
        <w:t>ANGELICA</w:t>
      </w:r>
      <w:r>
        <w:rPr>
          <w:rFonts w:ascii="Arial"/>
          <w:b/>
          <w:spacing w:val="-12"/>
          <w:sz w:val="20"/>
        </w:rPr>
        <w:t> </w:t>
      </w:r>
      <w:r>
        <w:rPr>
          <w:rFonts w:ascii="Arial"/>
          <w:b/>
          <w:sz w:val="20"/>
        </w:rPr>
        <w:t>SANABRIA</w:t>
      </w:r>
      <w:r>
        <w:rPr>
          <w:rFonts w:ascii="Arial"/>
          <w:b/>
          <w:spacing w:val="-13"/>
          <w:sz w:val="20"/>
        </w:rPr>
        <w:t> </w:t>
      </w:r>
      <w:r>
        <w:rPr>
          <w:rFonts w:ascii="Arial"/>
          <w:b/>
          <w:sz w:val="20"/>
        </w:rPr>
        <w:t>MARTINEZ MARTHA ELBA HURTADO FERRER. JONATHAN BASS HERRERA</w:t>
      </w:r>
    </w:p>
    <w:p>
      <w:pPr>
        <w:pStyle w:val="BodyText"/>
        <w:rPr>
          <w:rFonts w:ascii="Arial"/>
          <w:b/>
        </w:rPr>
      </w:pPr>
    </w:p>
    <w:p>
      <w:pPr>
        <w:pStyle w:val="BodyText"/>
        <w:spacing w:before="1"/>
        <w:ind w:left="1" w:right="149" w:firstLine="288"/>
        <w:jc w:val="both"/>
      </w:pPr>
      <w:r>
        <w:rPr/>
        <w:t>México, Distrito Federal. Acuerdo del Tribunal Pleno de la Suprema Corte de Justicia de la Nación, correspondiente al día doce de mayo de dos mil ocho.</w:t>
      </w:r>
    </w:p>
    <w:p>
      <w:pPr>
        <w:spacing w:before="229"/>
        <w:ind w:left="1156" w:right="1298" w:firstLine="0"/>
        <w:jc w:val="center"/>
        <w:rPr>
          <w:rFonts w:ascii="Arial"/>
          <w:b/>
          <w:sz w:val="20"/>
        </w:rPr>
      </w:pPr>
      <w:r>
        <w:rPr>
          <w:rFonts w:ascii="Arial"/>
          <w:b/>
          <w:sz w:val="20"/>
        </w:rPr>
        <w:t>VISTOS;</w:t>
      </w:r>
      <w:r>
        <w:rPr>
          <w:rFonts w:ascii="Arial"/>
          <w:b/>
          <w:spacing w:val="-6"/>
          <w:sz w:val="20"/>
        </w:rPr>
        <w:t> </w:t>
      </w:r>
      <w:r>
        <w:rPr>
          <w:rFonts w:ascii="Arial"/>
          <w:b/>
          <w:sz w:val="20"/>
        </w:rPr>
        <w:t>Y</w:t>
      </w:r>
      <w:r>
        <w:rPr>
          <w:rFonts w:ascii="Arial"/>
          <w:b/>
          <w:spacing w:val="-4"/>
          <w:sz w:val="20"/>
        </w:rPr>
        <w:t> </w:t>
      </w:r>
      <w:r>
        <w:rPr>
          <w:rFonts w:ascii="Arial"/>
          <w:b/>
          <w:spacing w:val="-2"/>
          <w:sz w:val="20"/>
        </w:rPr>
        <w:t>RESULTANDO:</w:t>
      </w:r>
    </w:p>
    <w:p>
      <w:pPr>
        <w:pStyle w:val="BodyText"/>
        <w:rPr>
          <w:rFonts w:ascii="Arial"/>
          <w:b/>
        </w:rPr>
      </w:pPr>
    </w:p>
    <w:p>
      <w:pPr>
        <w:spacing w:before="1"/>
        <w:ind w:left="289" w:right="0" w:firstLine="0"/>
        <w:jc w:val="left"/>
        <w:rPr>
          <w:sz w:val="20"/>
        </w:rPr>
      </w:pPr>
      <w:r>
        <w:rPr>
          <w:rFonts w:ascii="Arial" w:hAnsi="Arial"/>
          <w:b/>
          <w:sz w:val="20"/>
        </w:rPr>
        <w:t>PRIMERO</w:t>
      </w:r>
      <w:r>
        <w:rPr>
          <w:rFonts w:ascii="Arial" w:hAnsi="Arial"/>
          <w:b/>
          <w:spacing w:val="-2"/>
          <w:sz w:val="20"/>
        </w:rPr>
        <w:t> </w:t>
      </w:r>
      <w:r>
        <w:rPr>
          <w:rFonts w:ascii="Arial" w:hAnsi="Arial"/>
          <w:b/>
          <w:sz w:val="20"/>
        </w:rPr>
        <w:t>A</w:t>
      </w:r>
      <w:r>
        <w:rPr>
          <w:rFonts w:ascii="Arial" w:hAnsi="Arial"/>
          <w:b/>
          <w:spacing w:val="-9"/>
          <w:sz w:val="20"/>
        </w:rPr>
        <w:t> </w:t>
      </w:r>
      <w:r>
        <w:rPr>
          <w:rFonts w:ascii="Arial" w:hAnsi="Arial"/>
          <w:b/>
          <w:sz w:val="20"/>
        </w:rPr>
        <w:t>QUINTO.</w:t>
      </w:r>
      <w:r>
        <w:rPr>
          <w:rFonts w:ascii="Arial" w:hAnsi="Arial"/>
          <w:b/>
          <w:spacing w:val="-5"/>
          <w:sz w:val="20"/>
        </w:rPr>
        <w:t> </w:t>
      </w:r>
      <w:r>
        <w:rPr>
          <w:spacing w:val="-4"/>
          <w:sz w:val="20"/>
        </w:rPr>
        <w:t>……….</w:t>
      </w:r>
    </w:p>
    <w:p>
      <w:pPr>
        <w:spacing w:line="480" w:lineRule="auto" w:before="228"/>
        <w:ind w:left="289" w:right="3592" w:firstLine="3559"/>
        <w:jc w:val="left"/>
        <w:rPr>
          <w:sz w:val="20"/>
        </w:rPr>
      </w:pPr>
      <w:r>
        <w:rPr>
          <w:rFonts w:ascii="Arial" w:hAnsi="Arial"/>
          <w:b/>
          <w:spacing w:val="-2"/>
          <w:sz w:val="20"/>
        </w:rPr>
        <w:t>CONSIDERANDO:</w:t>
      </w:r>
      <w:r>
        <w:rPr>
          <w:rFonts w:ascii="Arial" w:hAnsi="Arial"/>
          <w:b/>
          <w:spacing w:val="-2"/>
          <w:sz w:val="20"/>
        </w:rPr>
        <w:t> </w:t>
      </w:r>
      <w:r>
        <w:rPr>
          <w:rFonts w:ascii="Arial" w:hAnsi="Arial"/>
          <w:b/>
          <w:sz w:val="20"/>
        </w:rPr>
        <w:t>PRIMERO A DECIMO PRIMERO. </w:t>
      </w:r>
      <w:r>
        <w:rPr>
          <w:sz w:val="20"/>
        </w:rPr>
        <w:t>……….</w:t>
      </w:r>
    </w:p>
    <w:p>
      <w:pPr>
        <w:pStyle w:val="BodyText"/>
        <w:spacing w:before="4"/>
        <w:ind w:left="1" w:right="150" w:firstLine="288"/>
        <w:jc w:val="both"/>
      </w:pPr>
      <w:r>
        <w:rPr/>
        <w:t>Del</w:t>
      </w:r>
      <w:r>
        <w:rPr>
          <w:spacing w:val="-3"/>
        </w:rPr>
        <w:t> </w:t>
      </w:r>
      <w:r>
        <w:rPr/>
        <w:t>enlace</w:t>
      </w:r>
      <w:r>
        <w:rPr>
          <w:spacing w:val="-2"/>
        </w:rPr>
        <w:t> </w:t>
      </w:r>
      <w:r>
        <w:rPr/>
        <w:t>de</w:t>
      </w:r>
      <w:r>
        <w:rPr>
          <w:spacing w:val="-2"/>
        </w:rPr>
        <w:t> </w:t>
      </w:r>
      <w:r>
        <w:rPr/>
        <w:t>las</w:t>
      </w:r>
      <w:r>
        <w:rPr>
          <w:spacing w:val="-3"/>
        </w:rPr>
        <w:t> </w:t>
      </w:r>
      <w:r>
        <w:rPr/>
        <w:t>disposiciones</w:t>
      </w:r>
      <w:r>
        <w:rPr>
          <w:spacing w:val="-3"/>
        </w:rPr>
        <w:t> </w:t>
      </w:r>
      <w:r>
        <w:rPr/>
        <w:t>transcritas</w:t>
      </w:r>
      <w:r>
        <w:rPr>
          <w:spacing w:val="-3"/>
        </w:rPr>
        <w:t> </w:t>
      </w:r>
      <w:r>
        <w:rPr/>
        <w:t>se</w:t>
      </w:r>
      <w:r>
        <w:rPr>
          <w:spacing w:val="-2"/>
        </w:rPr>
        <w:t> </w:t>
      </w:r>
      <w:r>
        <w:rPr/>
        <w:t>desprende</w:t>
      </w:r>
      <w:r>
        <w:rPr>
          <w:spacing w:val="-2"/>
        </w:rPr>
        <w:t> </w:t>
      </w:r>
      <w:r>
        <w:rPr/>
        <w:t>la</w:t>
      </w:r>
      <w:r>
        <w:rPr>
          <w:spacing w:val="-2"/>
        </w:rPr>
        <w:t> </w:t>
      </w:r>
      <w:r>
        <w:rPr/>
        <w:t>obligación</w:t>
      </w:r>
      <w:r>
        <w:rPr>
          <w:spacing w:val="-2"/>
        </w:rPr>
        <w:t> </w:t>
      </w:r>
      <w:r>
        <w:rPr/>
        <w:t>de</w:t>
      </w:r>
      <w:r>
        <w:rPr>
          <w:spacing w:val="-2"/>
        </w:rPr>
        <w:t> </w:t>
      </w:r>
      <w:r>
        <w:rPr/>
        <w:t>la</w:t>
      </w:r>
      <w:r>
        <w:rPr>
          <w:spacing w:val="-2"/>
        </w:rPr>
        <w:t> </w:t>
      </w:r>
      <w:r>
        <w:rPr/>
        <w:t>Suprema</w:t>
      </w:r>
      <w:r>
        <w:rPr>
          <w:spacing w:val="-4"/>
        </w:rPr>
        <w:t> </w:t>
      </w:r>
      <w:r>
        <w:rPr/>
        <w:t>Corte</w:t>
      </w:r>
      <w:r>
        <w:rPr>
          <w:spacing w:val="-5"/>
        </w:rPr>
        <w:t> </w:t>
      </w:r>
      <w:r>
        <w:rPr/>
        <w:t>de</w:t>
      </w:r>
      <w:r>
        <w:rPr>
          <w:spacing w:val="-2"/>
        </w:rPr>
        <w:t> </w:t>
      </w:r>
      <w:r>
        <w:rPr/>
        <w:t>Justicia de la Nación de fijar los efectos y alcances de la sentencia, el plazo para su cumplimiento y que aquéllas surtirán</w:t>
      </w:r>
      <w:r>
        <w:rPr>
          <w:spacing w:val="-4"/>
        </w:rPr>
        <w:t> </w:t>
      </w:r>
      <w:r>
        <w:rPr/>
        <w:t>efectos</w:t>
      </w:r>
      <w:r>
        <w:rPr>
          <w:spacing w:val="-2"/>
        </w:rPr>
        <w:t> </w:t>
      </w:r>
      <w:r>
        <w:rPr/>
        <w:t>a</w:t>
      </w:r>
      <w:r>
        <w:rPr>
          <w:spacing w:val="-1"/>
        </w:rPr>
        <w:t> </w:t>
      </w:r>
      <w:r>
        <w:rPr/>
        <w:t>partir</w:t>
      </w:r>
      <w:r>
        <w:rPr>
          <w:spacing w:val="-2"/>
        </w:rPr>
        <w:t> </w:t>
      </w:r>
      <w:r>
        <w:rPr/>
        <w:t>de</w:t>
      </w:r>
      <w:r>
        <w:rPr>
          <w:spacing w:val="-2"/>
        </w:rPr>
        <w:t> </w:t>
      </w:r>
      <w:r>
        <w:rPr/>
        <w:t>la</w:t>
      </w:r>
      <w:r>
        <w:rPr>
          <w:spacing w:val="-3"/>
        </w:rPr>
        <w:t> </w:t>
      </w:r>
      <w:r>
        <w:rPr/>
        <w:t>fecha</w:t>
      </w:r>
      <w:r>
        <w:rPr>
          <w:spacing w:val="-4"/>
        </w:rPr>
        <w:t> </w:t>
      </w:r>
      <w:r>
        <w:rPr/>
        <w:t>que</w:t>
      </w:r>
      <w:r>
        <w:rPr>
          <w:spacing w:val="-3"/>
        </w:rPr>
        <w:t> </w:t>
      </w:r>
      <w:r>
        <w:rPr/>
        <w:t>determine</w:t>
      </w:r>
      <w:r>
        <w:rPr>
          <w:spacing w:val="-4"/>
        </w:rPr>
        <w:t> </w:t>
      </w:r>
      <w:r>
        <w:rPr/>
        <w:t>este</w:t>
      </w:r>
      <w:r>
        <w:rPr>
          <w:spacing w:val="-1"/>
        </w:rPr>
        <w:t> </w:t>
      </w:r>
      <w:r>
        <w:rPr/>
        <w:t>Alto</w:t>
      </w:r>
      <w:r>
        <w:rPr>
          <w:spacing w:val="-3"/>
        </w:rPr>
        <w:t> </w:t>
      </w:r>
      <w:r>
        <w:rPr/>
        <w:t>Tribunal,</w:t>
      </w:r>
      <w:r>
        <w:rPr>
          <w:spacing w:val="-1"/>
        </w:rPr>
        <w:t> </w:t>
      </w:r>
      <w:r>
        <w:rPr/>
        <w:t>pero</w:t>
      </w:r>
      <w:r>
        <w:rPr>
          <w:spacing w:val="-1"/>
        </w:rPr>
        <w:t> </w:t>
      </w:r>
      <w:r>
        <w:rPr/>
        <w:t>no</w:t>
      </w:r>
      <w:r>
        <w:rPr>
          <w:spacing w:val="-4"/>
        </w:rPr>
        <w:t> </w:t>
      </w:r>
      <w:r>
        <w:rPr/>
        <w:t>tendrán</w:t>
      </w:r>
      <w:r>
        <w:rPr>
          <w:spacing w:val="-4"/>
        </w:rPr>
        <w:t> </w:t>
      </w:r>
      <w:r>
        <w:rPr/>
        <w:t>efectos</w:t>
      </w:r>
      <w:r>
        <w:rPr>
          <w:spacing w:val="-2"/>
        </w:rPr>
        <w:t> </w:t>
      </w:r>
      <w:r>
        <w:rPr/>
        <w:t>retroactivos.</w:t>
      </w:r>
    </w:p>
    <w:p>
      <w:pPr>
        <w:pStyle w:val="BodyText"/>
        <w:spacing w:before="229"/>
        <w:ind w:left="1" w:right="142" w:firstLine="288"/>
        <w:jc w:val="both"/>
      </w:pPr>
      <w:r>
        <w:rPr/>
        <w:t>Bajo ese</w:t>
      </w:r>
      <w:r>
        <w:rPr>
          <w:spacing w:val="-1"/>
        </w:rPr>
        <w:t> </w:t>
      </w:r>
      <w:r>
        <w:rPr/>
        <w:t>enfoque, la declaratoria de invalidez</w:t>
      </w:r>
      <w:r>
        <w:rPr>
          <w:spacing w:val="-2"/>
        </w:rPr>
        <w:t> </w:t>
      </w:r>
      <w:r>
        <w:rPr/>
        <w:t>de los artículos 4o.-A,</w:t>
      </w:r>
      <w:r>
        <w:rPr>
          <w:spacing w:val="-1"/>
        </w:rPr>
        <w:t> </w:t>
      </w:r>
      <w:r>
        <w:rPr/>
        <w:t>último</w:t>
      </w:r>
      <w:r>
        <w:rPr>
          <w:spacing w:val="-1"/>
        </w:rPr>
        <w:t> </w:t>
      </w:r>
      <w:r>
        <w:rPr/>
        <w:t>párrafo,</w:t>
      </w:r>
      <w:r>
        <w:rPr>
          <w:spacing w:val="-1"/>
        </w:rPr>
        <w:t> </w:t>
      </w:r>
      <w:r>
        <w:rPr/>
        <w:t>10-C, fracción VIII, de la Ley de Coordinación Fiscal y 2o.-A, fracción II, penúltimo párrafo, de la Ley del Impuesto Especial sobre Producción y Servicios, debe hacerse extensiva:</w:t>
      </w:r>
    </w:p>
    <w:p>
      <w:pPr>
        <w:pStyle w:val="ListParagraph"/>
        <w:numPr>
          <w:ilvl w:val="1"/>
          <w:numId w:val="20"/>
        </w:numPr>
        <w:tabs>
          <w:tab w:pos="576" w:val="left" w:leader="none"/>
        </w:tabs>
        <w:spacing w:line="242" w:lineRule="auto" w:before="228" w:after="0"/>
        <w:ind w:left="1" w:right="137" w:firstLine="288"/>
        <w:jc w:val="both"/>
        <w:rPr>
          <w:sz w:val="20"/>
        </w:rPr>
      </w:pPr>
      <w:r>
        <w:rPr>
          <w:sz w:val="20"/>
        </w:rPr>
        <w:t>Al artículo 10-D, fracción II, de la Ley de Coordinación Fiscal, exclusivamente en la porción normativa de su primer párrafo que señala </w:t>
      </w:r>
      <w:r>
        <w:rPr>
          <w:rFonts w:ascii="Arial" w:hAnsi="Arial"/>
          <w:b/>
          <w:i/>
          <w:sz w:val="20"/>
        </w:rPr>
        <w:t>“Salvo que se trate de gasolina y diesel”</w:t>
      </w:r>
      <w:r>
        <w:rPr>
          <w:sz w:val="20"/>
        </w:rPr>
        <w:t>, así como por lo que se refiere a la totalidad del párrafo segundo de la citada fracción.</w:t>
      </w:r>
    </w:p>
    <w:p>
      <w:pPr>
        <w:spacing w:before="225"/>
        <w:ind w:left="721" w:right="0" w:firstLine="0"/>
        <w:jc w:val="left"/>
        <w:rPr>
          <w:rFonts w:ascii="Arial" w:hAnsi="Arial"/>
          <w:b/>
          <w:i/>
          <w:sz w:val="20"/>
        </w:rPr>
      </w:pPr>
      <w:r>
        <w:rPr>
          <w:rFonts w:ascii="Arial" w:hAnsi="Arial"/>
          <w:b/>
          <w:i/>
          <w:spacing w:val="-4"/>
          <w:sz w:val="20"/>
        </w:rPr>
        <w:t>“II…</w:t>
      </w:r>
    </w:p>
    <w:p>
      <w:pPr>
        <w:spacing w:before="0"/>
        <w:ind w:left="721" w:right="861" w:firstLine="0"/>
        <w:jc w:val="both"/>
        <w:rPr>
          <w:rFonts w:ascii="Arial" w:hAnsi="Arial"/>
          <w:b/>
          <w:i/>
          <w:sz w:val="20"/>
        </w:rPr>
      </w:pPr>
      <w:r>
        <w:rPr>
          <w:rFonts w:ascii="Arial" w:hAnsi="Arial"/>
          <w:b/>
          <w:i/>
          <w:sz w:val="20"/>
        </w:rPr>
        <w:t>Tratándose</w:t>
      </w:r>
      <w:r>
        <w:rPr>
          <w:rFonts w:ascii="Arial" w:hAnsi="Arial"/>
          <w:b/>
          <w:i/>
          <w:spacing w:val="-2"/>
          <w:sz w:val="20"/>
        </w:rPr>
        <w:t> </w:t>
      </w:r>
      <w:r>
        <w:rPr>
          <w:rFonts w:ascii="Arial" w:hAnsi="Arial"/>
          <w:b/>
          <w:i/>
          <w:sz w:val="20"/>
        </w:rPr>
        <w:t>de</w:t>
      </w:r>
      <w:r>
        <w:rPr>
          <w:rFonts w:ascii="Arial" w:hAnsi="Arial"/>
          <w:b/>
          <w:i/>
          <w:spacing w:val="-1"/>
          <w:sz w:val="20"/>
        </w:rPr>
        <w:t> </w:t>
      </w:r>
      <w:r>
        <w:rPr>
          <w:rFonts w:ascii="Arial" w:hAnsi="Arial"/>
          <w:b/>
          <w:i/>
          <w:sz w:val="20"/>
        </w:rPr>
        <w:t>gasolina y diesel</w:t>
      </w:r>
      <w:r>
        <w:rPr>
          <w:rFonts w:ascii="Arial" w:hAnsi="Arial"/>
          <w:b/>
          <w:i/>
          <w:spacing w:val="-1"/>
          <w:sz w:val="20"/>
        </w:rPr>
        <w:t> </w:t>
      </w:r>
      <w:r>
        <w:rPr>
          <w:rFonts w:ascii="Arial" w:hAnsi="Arial"/>
          <w:b/>
          <w:i/>
          <w:sz w:val="20"/>
        </w:rPr>
        <w:t>se</w:t>
      </w:r>
      <w:r>
        <w:rPr>
          <w:rFonts w:ascii="Arial" w:hAnsi="Arial"/>
          <w:b/>
          <w:i/>
          <w:spacing w:val="-1"/>
          <w:sz w:val="20"/>
        </w:rPr>
        <w:t> </w:t>
      </w:r>
      <w:r>
        <w:rPr>
          <w:rFonts w:ascii="Arial" w:hAnsi="Arial"/>
          <w:b/>
          <w:i/>
          <w:sz w:val="20"/>
        </w:rPr>
        <w:t>considerará que</w:t>
      </w:r>
      <w:r>
        <w:rPr>
          <w:rFonts w:ascii="Arial" w:hAnsi="Arial"/>
          <w:b/>
          <w:i/>
          <w:spacing w:val="-1"/>
          <w:sz w:val="20"/>
        </w:rPr>
        <w:t> </w:t>
      </w:r>
      <w:r>
        <w:rPr>
          <w:rFonts w:ascii="Arial" w:hAnsi="Arial"/>
          <w:b/>
          <w:i/>
          <w:sz w:val="20"/>
        </w:rPr>
        <w:t>la venta</w:t>
      </w:r>
      <w:r>
        <w:rPr>
          <w:rFonts w:ascii="Arial" w:hAnsi="Arial"/>
          <w:b/>
          <w:i/>
          <w:spacing w:val="-1"/>
          <w:sz w:val="20"/>
        </w:rPr>
        <w:t> </w:t>
      </w:r>
      <w:r>
        <w:rPr>
          <w:rFonts w:ascii="Arial" w:hAnsi="Arial"/>
          <w:b/>
          <w:i/>
          <w:sz w:val="20"/>
        </w:rPr>
        <w:t>final</w:t>
      </w:r>
      <w:r>
        <w:rPr>
          <w:rFonts w:ascii="Arial" w:hAnsi="Arial"/>
          <w:b/>
          <w:i/>
          <w:spacing w:val="-1"/>
          <w:sz w:val="20"/>
        </w:rPr>
        <w:t> </w:t>
      </w:r>
      <w:r>
        <w:rPr>
          <w:rFonts w:ascii="Arial" w:hAnsi="Arial"/>
          <w:b/>
          <w:i/>
          <w:sz w:val="20"/>
        </w:rPr>
        <w:t>se</w:t>
      </w:r>
      <w:r>
        <w:rPr>
          <w:rFonts w:ascii="Arial" w:hAnsi="Arial"/>
          <w:b/>
          <w:i/>
          <w:spacing w:val="-1"/>
          <w:sz w:val="20"/>
        </w:rPr>
        <w:t> </w:t>
      </w:r>
      <w:r>
        <w:rPr>
          <w:rFonts w:ascii="Arial" w:hAnsi="Arial"/>
          <w:b/>
          <w:i/>
          <w:sz w:val="20"/>
        </w:rPr>
        <w:t>lleva a cabo en el territorio de una entidad cuando en el mismo se realice la entrega al consumidor final, con independencia del domicilio fiscal del contribuyente o del consumidor.”</w:t>
      </w:r>
    </w:p>
    <w:p>
      <w:pPr>
        <w:pStyle w:val="ListParagraph"/>
        <w:numPr>
          <w:ilvl w:val="1"/>
          <w:numId w:val="20"/>
        </w:numPr>
        <w:tabs>
          <w:tab w:pos="561" w:val="left" w:leader="none"/>
        </w:tabs>
        <w:spacing w:line="240" w:lineRule="auto" w:before="229" w:after="0"/>
        <w:ind w:left="1" w:right="144" w:firstLine="288"/>
        <w:jc w:val="both"/>
        <w:rPr>
          <w:rFonts w:ascii="Arial" w:hAnsi="Arial"/>
          <w:b/>
          <w:i/>
          <w:sz w:val="20"/>
        </w:rPr>
      </w:pPr>
      <w:r>
        <w:rPr>
          <w:sz w:val="20"/>
        </w:rPr>
        <w:t>Al artículo 27, fracción I, de la Ley del Impuesto Especial sobre Producción y Servicios, en la porción</w:t>
      </w:r>
      <w:r>
        <w:rPr>
          <w:spacing w:val="29"/>
          <w:sz w:val="20"/>
        </w:rPr>
        <w:t> </w:t>
      </w:r>
      <w:r>
        <w:rPr>
          <w:sz w:val="20"/>
        </w:rPr>
        <w:t>normativa</w:t>
      </w:r>
      <w:r>
        <w:rPr>
          <w:spacing w:val="30"/>
          <w:sz w:val="20"/>
        </w:rPr>
        <w:t> </w:t>
      </w:r>
      <w:r>
        <w:rPr>
          <w:sz w:val="20"/>
        </w:rPr>
        <w:t>que</w:t>
      </w:r>
      <w:r>
        <w:rPr>
          <w:spacing w:val="29"/>
          <w:sz w:val="20"/>
        </w:rPr>
        <w:t> </w:t>
      </w:r>
      <w:r>
        <w:rPr>
          <w:sz w:val="20"/>
        </w:rPr>
        <w:t>señala:</w:t>
      </w:r>
      <w:r>
        <w:rPr>
          <w:spacing w:val="33"/>
          <w:sz w:val="20"/>
        </w:rPr>
        <w:t> </w:t>
      </w:r>
      <w:r>
        <w:rPr>
          <w:rFonts w:ascii="Arial" w:hAnsi="Arial"/>
          <w:b/>
          <w:i/>
          <w:sz w:val="20"/>
        </w:rPr>
        <w:t>“…Se</w:t>
      </w:r>
      <w:r>
        <w:rPr>
          <w:rFonts w:ascii="Arial" w:hAnsi="Arial"/>
          <w:b/>
          <w:i/>
          <w:spacing w:val="30"/>
          <w:sz w:val="20"/>
        </w:rPr>
        <w:t> </w:t>
      </w:r>
      <w:r>
        <w:rPr>
          <w:rFonts w:ascii="Arial" w:hAnsi="Arial"/>
          <w:b/>
          <w:i/>
          <w:sz w:val="20"/>
        </w:rPr>
        <w:t>exceptúan</w:t>
      </w:r>
      <w:r>
        <w:rPr>
          <w:rFonts w:ascii="Arial" w:hAnsi="Arial"/>
          <w:b/>
          <w:i/>
          <w:spacing w:val="28"/>
          <w:sz w:val="20"/>
        </w:rPr>
        <w:t> </w:t>
      </w:r>
      <w:r>
        <w:rPr>
          <w:rFonts w:ascii="Arial" w:hAnsi="Arial"/>
          <w:b/>
          <w:i/>
          <w:sz w:val="20"/>
        </w:rPr>
        <w:t>de</w:t>
      </w:r>
      <w:r>
        <w:rPr>
          <w:rFonts w:ascii="Arial" w:hAnsi="Arial"/>
          <w:b/>
          <w:i/>
          <w:spacing w:val="32"/>
          <w:sz w:val="20"/>
        </w:rPr>
        <w:t> </w:t>
      </w:r>
      <w:r>
        <w:rPr>
          <w:rFonts w:ascii="Arial" w:hAnsi="Arial"/>
          <w:b/>
          <w:i/>
          <w:sz w:val="20"/>
        </w:rPr>
        <w:t>lo</w:t>
      </w:r>
      <w:r>
        <w:rPr>
          <w:rFonts w:ascii="Arial" w:hAnsi="Arial"/>
          <w:b/>
          <w:i/>
          <w:spacing w:val="28"/>
          <w:sz w:val="20"/>
        </w:rPr>
        <w:t> </w:t>
      </w:r>
      <w:r>
        <w:rPr>
          <w:rFonts w:ascii="Arial" w:hAnsi="Arial"/>
          <w:b/>
          <w:i/>
          <w:sz w:val="20"/>
        </w:rPr>
        <w:t>anterior</w:t>
      </w:r>
      <w:r>
        <w:rPr>
          <w:rFonts w:ascii="Arial" w:hAnsi="Arial"/>
          <w:b/>
          <w:i/>
          <w:spacing w:val="27"/>
          <w:sz w:val="20"/>
        </w:rPr>
        <w:t> </w:t>
      </w:r>
      <w:r>
        <w:rPr>
          <w:rFonts w:ascii="Arial" w:hAnsi="Arial"/>
          <w:b/>
          <w:i/>
          <w:sz w:val="20"/>
        </w:rPr>
        <w:t>los</w:t>
      </w:r>
      <w:r>
        <w:rPr>
          <w:rFonts w:ascii="Arial" w:hAnsi="Arial"/>
          <w:b/>
          <w:i/>
          <w:spacing w:val="31"/>
          <w:sz w:val="20"/>
        </w:rPr>
        <w:t> </w:t>
      </w:r>
      <w:r>
        <w:rPr>
          <w:rFonts w:ascii="Arial" w:hAnsi="Arial"/>
          <w:b/>
          <w:i/>
          <w:sz w:val="20"/>
        </w:rPr>
        <w:t>impuestos</w:t>
      </w:r>
      <w:r>
        <w:rPr>
          <w:rFonts w:ascii="Arial" w:hAnsi="Arial"/>
          <w:b/>
          <w:i/>
          <w:spacing w:val="27"/>
          <w:sz w:val="20"/>
        </w:rPr>
        <w:t> </w:t>
      </w:r>
      <w:r>
        <w:rPr>
          <w:rFonts w:ascii="Arial" w:hAnsi="Arial"/>
          <w:b/>
          <w:i/>
          <w:sz w:val="20"/>
        </w:rPr>
        <w:t>locales</w:t>
      </w:r>
      <w:r>
        <w:rPr>
          <w:rFonts w:ascii="Arial" w:hAnsi="Arial"/>
          <w:b/>
          <w:i/>
          <w:spacing w:val="29"/>
          <w:sz w:val="20"/>
        </w:rPr>
        <w:t> </w:t>
      </w:r>
      <w:r>
        <w:rPr>
          <w:rFonts w:ascii="Arial" w:hAnsi="Arial"/>
          <w:b/>
          <w:i/>
          <w:sz w:val="20"/>
        </w:rPr>
        <w:t>a</w:t>
      </w:r>
      <w:r>
        <w:rPr>
          <w:rFonts w:ascii="Arial" w:hAnsi="Arial"/>
          <w:b/>
          <w:i/>
          <w:spacing w:val="29"/>
          <w:sz w:val="20"/>
        </w:rPr>
        <w:t> </w:t>
      </w:r>
      <w:r>
        <w:rPr>
          <w:rFonts w:ascii="Arial" w:hAnsi="Arial"/>
          <w:b/>
          <w:i/>
          <w:sz w:val="20"/>
        </w:rPr>
        <w:t>la</w:t>
      </w:r>
      <w:r>
        <w:rPr>
          <w:rFonts w:ascii="Arial" w:hAnsi="Arial"/>
          <w:b/>
          <w:i/>
          <w:spacing w:val="29"/>
          <w:sz w:val="20"/>
        </w:rPr>
        <w:t> </w:t>
      </w:r>
      <w:r>
        <w:rPr>
          <w:rFonts w:ascii="Arial" w:hAnsi="Arial"/>
          <w:b/>
          <w:i/>
          <w:sz w:val="20"/>
        </w:rPr>
        <w:t>venta</w:t>
      </w:r>
      <w:r>
        <w:rPr>
          <w:rFonts w:ascii="Arial" w:hAnsi="Arial"/>
          <w:b/>
          <w:i/>
          <w:spacing w:val="29"/>
          <w:sz w:val="20"/>
        </w:rPr>
        <w:t> </w:t>
      </w:r>
      <w:r>
        <w:rPr>
          <w:rFonts w:ascii="Arial" w:hAnsi="Arial"/>
          <w:b/>
          <w:i/>
          <w:sz w:val="20"/>
        </w:rPr>
        <w:t>o</w:t>
      </w:r>
    </w:p>
    <w:p>
      <w:pPr>
        <w:pStyle w:val="ListParagraph"/>
        <w:spacing w:after="0" w:line="240" w:lineRule="auto"/>
        <w:jc w:val="both"/>
        <w:rPr>
          <w:rFonts w:ascii="Arial" w:hAnsi="Arial"/>
          <w:b/>
          <w:i/>
          <w:sz w:val="20"/>
        </w:rPr>
        <w:sectPr>
          <w:pgSz w:w="12250" w:h="15850"/>
          <w:pgMar w:header="724" w:footer="712" w:top="1880" w:bottom="900" w:left="1417" w:right="1275"/>
        </w:sectPr>
      </w:pPr>
    </w:p>
    <w:p>
      <w:pPr>
        <w:pStyle w:val="BodyText"/>
        <w:spacing w:before="67"/>
        <w:rPr>
          <w:rFonts w:ascii="Arial"/>
          <w:b/>
          <w:i/>
        </w:rPr>
      </w:pPr>
    </w:p>
    <w:p>
      <w:pPr>
        <w:spacing w:before="0"/>
        <w:ind w:left="1" w:right="141" w:firstLine="0"/>
        <w:jc w:val="both"/>
        <w:rPr>
          <w:sz w:val="20"/>
        </w:rPr>
      </w:pPr>
      <w:r>
        <w:rPr>
          <w:rFonts w:ascii="Arial" w:hAnsi="Arial"/>
          <w:b/>
          <w:i/>
          <w:sz w:val="20"/>
        </w:rPr>
        <w:t>consumo final de los bienes objeto del impuesto previsto en esta Ley, que en términos de lo establecido en el artículo 10-C de la Ley de Coordinación Fiscal establezcan las entidades federativas adheridas al Sistema Nacional de Coordinación Fiscal”</w:t>
      </w:r>
      <w:r>
        <w:rPr>
          <w:sz w:val="20"/>
        </w:rPr>
        <w:t>; lo anterior, si se toma en consideración que la validez de dicha porción normativa depende de la fracción VIII del artículo 10-C de</w:t>
      </w:r>
      <w:r>
        <w:rPr>
          <w:spacing w:val="40"/>
          <w:sz w:val="20"/>
        </w:rPr>
        <w:t> </w:t>
      </w:r>
      <w:r>
        <w:rPr>
          <w:sz w:val="20"/>
        </w:rPr>
        <w:t>la Ley de Coordinación Fiscal, cuya invalidez ha sido declarada.</w:t>
      </w:r>
    </w:p>
    <w:p>
      <w:pPr>
        <w:pStyle w:val="BodyText"/>
      </w:pPr>
    </w:p>
    <w:p>
      <w:pPr>
        <w:pStyle w:val="BodyText"/>
        <w:spacing w:before="1"/>
        <w:ind w:left="1" w:right="149" w:firstLine="288"/>
        <w:jc w:val="both"/>
      </w:pPr>
      <w:r>
        <w:rPr/>
        <w:t>Dicha declaratoria de invalidez surtirá efectos a partir del día en que se notifique al Congreso de la Unión la presente ejecutoria.</w:t>
      </w:r>
    </w:p>
    <w:p>
      <w:pPr>
        <w:pStyle w:val="BodyText"/>
        <w:spacing w:before="228"/>
        <w:ind w:left="289"/>
      </w:pPr>
      <w:r>
        <w:rPr/>
        <w:t>Por</w:t>
      </w:r>
      <w:r>
        <w:rPr>
          <w:spacing w:val="-6"/>
        </w:rPr>
        <w:t> </w:t>
      </w:r>
      <w:r>
        <w:rPr/>
        <w:t>lo</w:t>
      </w:r>
      <w:r>
        <w:rPr>
          <w:spacing w:val="-5"/>
        </w:rPr>
        <w:t> </w:t>
      </w:r>
      <w:r>
        <w:rPr/>
        <w:t>expuesto</w:t>
      </w:r>
      <w:r>
        <w:rPr>
          <w:spacing w:val="-1"/>
        </w:rPr>
        <w:t> </w:t>
      </w:r>
      <w:r>
        <w:rPr/>
        <w:t>y</w:t>
      </w:r>
      <w:r>
        <w:rPr>
          <w:spacing w:val="-8"/>
        </w:rPr>
        <w:t> </w:t>
      </w:r>
      <w:r>
        <w:rPr/>
        <w:t>fundado,</w:t>
      </w:r>
      <w:r>
        <w:rPr>
          <w:spacing w:val="-2"/>
        </w:rPr>
        <w:t> </w:t>
      </w:r>
      <w:r>
        <w:rPr/>
        <w:t>se</w:t>
      </w:r>
      <w:r>
        <w:rPr>
          <w:spacing w:val="-5"/>
        </w:rPr>
        <w:t> </w:t>
      </w:r>
      <w:r>
        <w:rPr>
          <w:spacing w:val="-2"/>
        </w:rPr>
        <w:t>resuelve:</w:t>
      </w:r>
    </w:p>
    <w:p>
      <w:pPr>
        <w:pStyle w:val="BodyText"/>
        <w:spacing w:line="242" w:lineRule="auto" w:before="229"/>
        <w:ind w:left="1" w:right="147" w:firstLine="288"/>
        <w:jc w:val="both"/>
      </w:pPr>
      <w:r>
        <w:rPr>
          <w:rFonts w:ascii="Arial" w:hAnsi="Arial"/>
          <w:b/>
        </w:rPr>
        <w:t>PRIMERO. </w:t>
      </w:r>
      <w:r>
        <w:rPr/>
        <w:t>Es parcialmente procedente y parcialmente fundada la presente acción de </w:t>
      </w:r>
      <w:r>
        <w:rPr>
          <w:spacing w:val="-2"/>
        </w:rPr>
        <w:t>inconstitucionalidad.</w:t>
      </w:r>
    </w:p>
    <w:p>
      <w:pPr>
        <w:pStyle w:val="BodyText"/>
        <w:spacing w:line="242" w:lineRule="auto" w:before="225"/>
        <w:ind w:left="1" w:right="151" w:firstLine="288"/>
        <w:jc w:val="both"/>
      </w:pPr>
      <w:r>
        <w:rPr>
          <w:rFonts w:ascii="Arial" w:hAnsi="Arial"/>
          <w:b/>
        </w:rPr>
        <w:t>SEGUNDO. </w:t>
      </w:r>
      <w:r>
        <w:rPr/>
        <w:t>Se sobresee en la presente acción de inconstitucionalidad respecto del artículo 7o., párrafos sexto y séptimo, de la Ley del Impuesto Especial sobre Producción y Servicios.</w:t>
      </w:r>
    </w:p>
    <w:p>
      <w:pPr>
        <w:pStyle w:val="BodyText"/>
        <w:spacing w:before="226"/>
        <w:ind w:left="1" w:right="140" w:firstLine="288"/>
        <w:jc w:val="both"/>
      </w:pPr>
      <w:r>
        <w:rPr>
          <w:rFonts w:ascii="Arial" w:hAnsi="Arial"/>
          <w:b/>
        </w:rPr>
        <w:t>TERCERO. </w:t>
      </w:r>
      <w:r>
        <w:rPr/>
        <w:t>Se reconoce la validez de los artículos 2o.-A, salvo el penúltimo párrafo de su fracción II, 2o.-B, 7o., párrafo quinto, y 8o., fracción I, inciso a), de la Ley del Impuesto Especial sobre Producción y Servicios, y</w:t>
      </w:r>
      <w:r>
        <w:rPr>
          <w:spacing w:val="-1"/>
        </w:rPr>
        <w:t> </w:t>
      </w:r>
      <w:r>
        <w:rPr/>
        <w:t>Sexto Transitorio del Decreto publicado el veintiuno de diciembre de dos mil</w:t>
      </w:r>
      <w:r>
        <w:rPr>
          <w:spacing w:val="-1"/>
        </w:rPr>
        <w:t> </w:t>
      </w:r>
      <w:r>
        <w:rPr/>
        <w:t>siete en el</w:t>
      </w:r>
      <w:r>
        <w:rPr>
          <w:spacing w:val="-1"/>
        </w:rPr>
        <w:t> </w:t>
      </w:r>
      <w:r>
        <w:rPr/>
        <w:t>Diario Oficial de la Federación.</w:t>
      </w:r>
    </w:p>
    <w:p>
      <w:pPr>
        <w:pStyle w:val="BodyText"/>
      </w:pPr>
    </w:p>
    <w:p>
      <w:pPr>
        <w:pStyle w:val="BodyText"/>
        <w:ind w:left="1" w:right="141" w:firstLine="288"/>
        <w:jc w:val="both"/>
      </w:pPr>
      <w:r>
        <w:rPr>
          <w:rFonts w:ascii="Arial" w:hAnsi="Arial"/>
          <w:b/>
        </w:rPr>
        <w:t>CUARTO. </w:t>
      </w:r>
      <w:r>
        <w:rPr/>
        <w:t>Se declara la invalidez de los artículos 4o.-A, último párrafo, 10-C, fracción VIII, y 10-D, fracción II, en la porción normativa indicada al final de esta ejecutoria, de la Ley de Coordinación Fiscal, 2o.-A, fracción II, sólo en el penúltimo párrafo, y 27, fracción I, segunda o última parte, de la Ley del Impuesto Especial sobre Producción y Servicios, contenidos en el Decreto publicado el veintiuno de diciembre de dos mil siete en el Diario Oficial de la Federación.</w:t>
      </w:r>
    </w:p>
    <w:p>
      <w:pPr>
        <w:pStyle w:val="BodyText"/>
      </w:pPr>
    </w:p>
    <w:p>
      <w:pPr>
        <w:pStyle w:val="BodyText"/>
        <w:spacing w:line="242" w:lineRule="auto" w:before="1"/>
        <w:ind w:left="1" w:right="147" w:firstLine="288"/>
        <w:jc w:val="both"/>
      </w:pPr>
      <w:r>
        <w:rPr>
          <w:rFonts w:ascii="Arial" w:hAnsi="Arial"/>
          <w:b/>
        </w:rPr>
        <w:t>NOTIFIQUESE; </w:t>
      </w:r>
      <w:r>
        <w:rPr/>
        <w:t>haciéndolo por medio de oficio a las partes y, en su oportunidad, archívese el expediente como concluido.</w:t>
      </w:r>
    </w:p>
    <w:p>
      <w:pPr>
        <w:pStyle w:val="BodyText"/>
        <w:spacing w:before="226"/>
        <w:ind w:left="1" w:right="137" w:firstLine="288"/>
        <w:jc w:val="both"/>
      </w:pPr>
      <w:r>
        <w:rPr/>
        <w:t>Así lo resolvió el Pleno de la Suprema Corte de Justicia de la Nación, por unanimidad de once votos</w:t>
      </w:r>
      <w:r>
        <w:rPr>
          <w:spacing w:val="40"/>
        </w:rPr>
        <w:t> </w:t>
      </w:r>
      <w:r>
        <w:rPr/>
        <w:t>se aprobaron los Resolutivos Primero; Segundo, excepto por lo que atañe al sobreseimiento respecto de los artículos 2o.-A, fracción I y 2o.-B, de la Ley del Impuesto Especial sobre Producción y Servicios; Tercero,</w:t>
      </w:r>
      <w:r>
        <w:rPr>
          <w:spacing w:val="-2"/>
        </w:rPr>
        <w:t> </w:t>
      </w:r>
      <w:r>
        <w:rPr/>
        <w:t>excepto</w:t>
      </w:r>
      <w:r>
        <w:rPr>
          <w:spacing w:val="-3"/>
        </w:rPr>
        <w:t> </w:t>
      </w:r>
      <w:r>
        <w:rPr/>
        <w:t>por lo</w:t>
      </w:r>
      <w:r>
        <w:rPr>
          <w:spacing w:val="-1"/>
        </w:rPr>
        <w:t> </w:t>
      </w:r>
      <w:r>
        <w:rPr/>
        <w:t>que</w:t>
      </w:r>
      <w:r>
        <w:rPr>
          <w:spacing w:val="-1"/>
        </w:rPr>
        <w:t> </w:t>
      </w:r>
      <w:r>
        <w:rPr/>
        <w:t>se</w:t>
      </w:r>
      <w:r>
        <w:rPr>
          <w:spacing w:val="-2"/>
        </w:rPr>
        <w:t> </w:t>
      </w:r>
      <w:r>
        <w:rPr/>
        <w:t>refiere</w:t>
      </w:r>
      <w:r>
        <w:rPr>
          <w:spacing w:val="-2"/>
        </w:rPr>
        <w:t> </w:t>
      </w:r>
      <w:r>
        <w:rPr/>
        <w:t>al</w:t>
      </w:r>
      <w:r>
        <w:rPr>
          <w:spacing w:val="-3"/>
        </w:rPr>
        <w:t> </w:t>
      </w:r>
      <w:r>
        <w:rPr/>
        <w:t>reconocimiento</w:t>
      </w:r>
      <w:r>
        <w:rPr>
          <w:spacing w:val="-2"/>
        </w:rPr>
        <w:t> </w:t>
      </w:r>
      <w:r>
        <w:rPr/>
        <w:t>de</w:t>
      </w:r>
      <w:r>
        <w:rPr>
          <w:spacing w:val="-1"/>
        </w:rPr>
        <w:t> </w:t>
      </w:r>
      <w:r>
        <w:rPr/>
        <w:t>validez</w:t>
      </w:r>
      <w:r>
        <w:rPr>
          <w:spacing w:val="-3"/>
        </w:rPr>
        <w:t> </w:t>
      </w:r>
      <w:r>
        <w:rPr/>
        <w:t>de</w:t>
      </w:r>
      <w:r>
        <w:rPr>
          <w:spacing w:val="-2"/>
        </w:rPr>
        <w:t> </w:t>
      </w:r>
      <w:r>
        <w:rPr/>
        <w:t>los</w:t>
      </w:r>
      <w:r>
        <w:rPr>
          <w:spacing w:val="-1"/>
        </w:rPr>
        <w:t> </w:t>
      </w:r>
      <w:r>
        <w:rPr/>
        <w:t>artículos</w:t>
      </w:r>
      <w:r>
        <w:rPr>
          <w:spacing w:val="-1"/>
        </w:rPr>
        <w:t> </w:t>
      </w:r>
      <w:r>
        <w:rPr/>
        <w:t>2o.-A,</w:t>
      </w:r>
      <w:r>
        <w:rPr>
          <w:spacing w:val="-2"/>
        </w:rPr>
        <w:t> </w:t>
      </w:r>
      <w:r>
        <w:rPr/>
        <w:t>fracción</w:t>
      </w:r>
      <w:r>
        <w:rPr>
          <w:spacing w:val="-1"/>
        </w:rPr>
        <w:t> </w:t>
      </w:r>
      <w:r>
        <w:rPr/>
        <w:t>II,</w:t>
      </w:r>
      <w:r>
        <w:rPr>
          <w:spacing w:val="-2"/>
        </w:rPr>
        <w:t> </w:t>
      </w:r>
      <w:r>
        <w:rPr/>
        <w:t>salvo su penúltimo párrafo, de la Ley del Impuesto Especial sobre Producción y Servicios y 4o.-A, último</w:t>
      </w:r>
      <w:r>
        <w:rPr>
          <w:spacing w:val="80"/>
        </w:rPr>
        <w:t> </w:t>
      </w:r>
      <w:r>
        <w:rPr/>
        <w:t>párrafo de la Ley de Coordinación Fiscal; y Cuarto; por mayoría de nueve votos de los señores Ministros Aguirre Anguiano, Cossío Díaz, Luna Ramos, Góngora Pimentel, Gudiño Pelayo, Azuela Güitrón, Sánchez Cordero de García Villegas, Silva Meza y Presidente Ortiz Mayagoitia se resolvió reconocer la validez de los artículos 2o.-A, fracción I, y 2o.-B, de la Ley del Impuesto Especial sobre Producción y Servicios y declarar la invalidez del artículo 4o.-A, último párrafo de la Ley de Coordinación Fiscal, los señores Ministros Franco González Salas y Valls Hernández votaron en favor del proyecto de sobreseer respecto de los artículos 2o.-A, fracción I, y 2o.-B, de la Ley del Impuesto Especial sobre Producción y Servicios y de declarar la validez del artículo 4o.-A, último párrafo de la Ley de Coordinación Fiscal, y el primero de los mencionados reservó su derecho para formular voto particular, al que se adhirió el segundo; por mayoría de diez votos de los señores Ministros Aguirre Anguiano, Cossío Díaz, Luna Ramos, Franco González Salas, Góngora Pimentel, Gudiño Pelayo, Azuela Güitrón, Valls Hernández, Silva Meza y Presidente Ortiz Mayagoitia se aprobó el Resolutivo Tercero en cuanto a reconocer la validez del artículo 2o.-A, fracción II, salvo su penúltimo párrafo, de la Ley del Impuesto Especial sobre Producción y Servicios, y la señora Ministra Sánchez Cordero de García Villegas votó en contra, por estimar que vulnera el principio de legalidad tributaria, y</w:t>
      </w:r>
      <w:r>
        <w:rPr>
          <w:spacing w:val="-2"/>
        </w:rPr>
        <w:t> </w:t>
      </w:r>
      <w:r>
        <w:rPr/>
        <w:t>reservó su derecho para formular voto particular; y el señor Ministro Góngora Pimentel reservó su derecho para formular voto concurrente.</w:t>
      </w:r>
    </w:p>
    <w:p>
      <w:pPr>
        <w:pStyle w:val="BodyText"/>
        <w:spacing w:after="0"/>
        <w:jc w:val="both"/>
        <w:sectPr>
          <w:pgSz w:w="12250" w:h="15850"/>
          <w:pgMar w:header="724" w:footer="712" w:top="1880" w:bottom="900" w:left="1417" w:right="1275"/>
        </w:sectPr>
      </w:pPr>
    </w:p>
    <w:p>
      <w:pPr>
        <w:pStyle w:val="BodyText"/>
        <w:spacing w:before="67"/>
      </w:pPr>
    </w:p>
    <w:p>
      <w:pPr>
        <w:pStyle w:val="BodyText"/>
        <w:ind w:left="289"/>
      </w:pPr>
      <w:r>
        <w:rPr/>
        <w:t>Firman</w:t>
      </w:r>
      <w:r>
        <w:rPr>
          <w:spacing w:val="-8"/>
        </w:rPr>
        <w:t> </w:t>
      </w:r>
      <w:r>
        <w:rPr/>
        <w:t>el</w:t>
      </w:r>
      <w:r>
        <w:rPr>
          <w:spacing w:val="-7"/>
        </w:rPr>
        <w:t> </w:t>
      </w:r>
      <w:r>
        <w:rPr/>
        <w:t>Presidente,</w:t>
      </w:r>
      <w:r>
        <w:rPr>
          <w:spacing w:val="-4"/>
        </w:rPr>
        <w:t> </w:t>
      </w:r>
      <w:r>
        <w:rPr/>
        <w:t>Ponente</w:t>
      </w:r>
      <w:r>
        <w:rPr>
          <w:spacing w:val="-3"/>
        </w:rPr>
        <w:t> </w:t>
      </w:r>
      <w:r>
        <w:rPr/>
        <w:t>y</w:t>
      </w:r>
      <w:r>
        <w:rPr>
          <w:spacing w:val="-9"/>
        </w:rPr>
        <w:t> </w:t>
      </w:r>
      <w:r>
        <w:rPr/>
        <w:t>el</w:t>
      </w:r>
      <w:r>
        <w:rPr>
          <w:spacing w:val="-7"/>
        </w:rPr>
        <w:t> </w:t>
      </w:r>
      <w:r>
        <w:rPr/>
        <w:t>Secretario</w:t>
      </w:r>
      <w:r>
        <w:rPr>
          <w:spacing w:val="-6"/>
        </w:rPr>
        <w:t> </w:t>
      </w:r>
      <w:r>
        <w:rPr/>
        <w:t>General</w:t>
      </w:r>
      <w:r>
        <w:rPr>
          <w:spacing w:val="-5"/>
        </w:rPr>
        <w:t> </w:t>
      </w:r>
      <w:r>
        <w:rPr/>
        <w:t>de</w:t>
      </w:r>
      <w:r>
        <w:rPr>
          <w:spacing w:val="-7"/>
        </w:rPr>
        <w:t> </w:t>
      </w:r>
      <w:r>
        <w:rPr/>
        <w:t>Acuerdos,</w:t>
      </w:r>
      <w:r>
        <w:rPr>
          <w:spacing w:val="-5"/>
        </w:rPr>
        <w:t> </w:t>
      </w:r>
      <w:r>
        <w:rPr/>
        <w:t>que</w:t>
      </w:r>
      <w:r>
        <w:rPr>
          <w:spacing w:val="-4"/>
        </w:rPr>
        <w:t> </w:t>
      </w:r>
      <w:r>
        <w:rPr/>
        <w:t>autoriza</w:t>
      </w:r>
      <w:r>
        <w:rPr>
          <w:spacing w:val="-4"/>
        </w:rPr>
        <w:t> </w:t>
      </w:r>
      <w:r>
        <w:rPr/>
        <w:t>y</w:t>
      </w:r>
      <w:r>
        <w:rPr>
          <w:spacing w:val="-7"/>
        </w:rPr>
        <w:t> </w:t>
      </w:r>
      <w:r>
        <w:rPr/>
        <w:t>da</w:t>
      </w:r>
      <w:r>
        <w:rPr>
          <w:spacing w:val="-7"/>
        </w:rPr>
        <w:t> </w:t>
      </w:r>
      <w:r>
        <w:rPr>
          <w:spacing w:val="-5"/>
        </w:rPr>
        <w:t>fe.</w:t>
      </w:r>
    </w:p>
    <w:p>
      <w:pPr>
        <w:spacing w:line="240" w:lineRule="auto" w:before="229"/>
        <w:ind w:left="1" w:right="140" w:firstLine="288"/>
        <w:jc w:val="both"/>
        <w:rPr>
          <w:sz w:val="20"/>
        </w:rPr>
      </w:pPr>
      <w:r>
        <w:rPr>
          <w:sz w:val="20"/>
        </w:rPr>
        <w:t>El Presidente: Ministro </w:t>
      </w:r>
      <w:r>
        <w:rPr>
          <w:rFonts w:ascii="Arial" w:hAnsi="Arial"/>
          <w:b/>
          <w:sz w:val="20"/>
        </w:rPr>
        <w:t>Guillermo I. Ortiz Mayagoitia</w:t>
      </w:r>
      <w:r>
        <w:rPr>
          <w:sz w:val="20"/>
        </w:rPr>
        <w:t>.- Rúbrica.- Ponente: Ministro </w:t>
      </w:r>
      <w:r>
        <w:rPr>
          <w:rFonts w:ascii="Arial" w:hAnsi="Arial"/>
          <w:b/>
          <w:sz w:val="20"/>
        </w:rPr>
        <w:t>José Fernando Franco González Salas</w:t>
      </w:r>
      <w:r>
        <w:rPr>
          <w:sz w:val="20"/>
        </w:rPr>
        <w:t>.- Rúbrica.- El Secretario General de Acuerdos: </w:t>
      </w:r>
      <w:r>
        <w:rPr>
          <w:rFonts w:ascii="Arial" w:hAnsi="Arial"/>
          <w:b/>
          <w:sz w:val="20"/>
        </w:rPr>
        <w:t>J. Javier Aguilar Domínguez</w:t>
      </w:r>
      <w:r>
        <w:rPr>
          <w:sz w:val="20"/>
        </w:rPr>
        <w:t>.- </w:t>
      </w:r>
      <w:r>
        <w:rPr>
          <w:spacing w:val="-2"/>
          <w:sz w:val="20"/>
        </w:rPr>
        <w:t>Rúbrica.</w:t>
      </w:r>
    </w:p>
    <w:p>
      <w:pPr>
        <w:pStyle w:val="BodyText"/>
        <w:spacing w:line="242" w:lineRule="auto" w:before="229"/>
        <w:ind w:left="1" w:right="143" w:firstLine="288"/>
        <w:jc w:val="both"/>
      </w:pPr>
      <w:r>
        <w:rPr/>
        <w:t>EL CIUDADANO LICENCIADO </w:t>
      </w:r>
      <w:r>
        <w:rPr>
          <w:rFonts w:ascii="Arial"/>
          <w:b/>
        </w:rPr>
        <w:t>JOSE JAVIER AGUILAR DOMINGUEZ</w:t>
      </w:r>
      <w:r>
        <w:rPr/>
        <w:t>, SECRETARIO GENERAL</w:t>
      </w:r>
      <w:r>
        <w:rPr>
          <w:spacing w:val="40"/>
        </w:rPr>
        <w:t> </w:t>
      </w:r>
      <w:r>
        <w:rPr/>
        <w:t>DE</w:t>
      </w:r>
      <w:r>
        <w:rPr>
          <w:spacing w:val="46"/>
        </w:rPr>
        <w:t> </w:t>
      </w:r>
      <w:r>
        <w:rPr/>
        <w:t>ACUERDOS</w:t>
      </w:r>
      <w:r>
        <w:rPr>
          <w:spacing w:val="45"/>
        </w:rPr>
        <w:t> </w:t>
      </w:r>
      <w:r>
        <w:rPr/>
        <w:t>DE</w:t>
      </w:r>
      <w:r>
        <w:rPr>
          <w:spacing w:val="46"/>
        </w:rPr>
        <w:t> </w:t>
      </w:r>
      <w:r>
        <w:rPr/>
        <w:t>LA</w:t>
      </w:r>
      <w:r>
        <w:rPr>
          <w:spacing w:val="45"/>
        </w:rPr>
        <w:t> </w:t>
      </w:r>
      <w:r>
        <w:rPr/>
        <w:t>SUPREMA</w:t>
      </w:r>
      <w:r>
        <w:rPr>
          <w:spacing w:val="46"/>
        </w:rPr>
        <w:t> </w:t>
      </w:r>
      <w:r>
        <w:rPr/>
        <w:t>CORTE</w:t>
      </w:r>
      <w:r>
        <w:rPr>
          <w:spacing w:val="45"/>
        </w:rPr>
        <w:t> </w:t>
      </w:r>
      <w:r>
        <w:rPr/>
        <w:t>DE</w:t>
      </w:r>
      <w:r>
        <w:rPr>
          <w:spacing w:val="46"/>
        </w:rPr>
        <w:t> </w:t>
      </w:r>
      <w:r>
        <w:rPr/>
        <w:t>JUSTICIA</w:t>
      </w:r>
      <w:r>
        <w:rPr>
          <w:spacing w:val="45"/>
        </w:rPr>
        <w:t> </w:t>
      </w:r>
      <w:r>
        <w:rPr/>
        <w:t>DE</w:t>
      </w:r>
      <w:r>
        <w:rPr>
          <w:spacing w:val="46"/>
        </w:rPr>
        <w:t> </w:t>
      </w:r>
      <w:r>
        <w:rPr/>
        <w:t>LA</w:t>
      </w:r>
      <w:r>
        <w:rPr>
          <w:spacing w:val="46"/>
        </w:rPr>
        <w:t> </w:t>
      </w:r>
      <w:r>
        <w:rPr/>
        <w:t>NACION,</w:t>
      </w:r>
      <w:r>
        <w:rPr>
          <w:spacing w:val="46"/>
        </w:rPr>
        <w:t> </w:t>
      </w:r>
      <w:r>
        <w:rPr/>
        <w:t>CERTIFICA:</w:t>
      </w:r>
      <w:r>
        <w:rPr>
          <w:spacing w:val="46"/>
        </w:rPr>
        <w:t> </w:t>
      </w:r>
      <w:r>
        <w:rPr/>
        <w:t>Que</w:t>
      </w:r>
      <w:r>
        <w:rPr>
          <w:spacing w:val="45"/>
        </w:rPr>
        <w:t> </w:t>
      </w:r>
      <w:r>
        <w:rPr>
          <w:spacing w:val="-4"/>
        </w:rPr>
        <w:t>esta</w:t>
      </w:r>
    </w:p>
    <w:p>
      <w:pPr>
        <w:pStyle w:val="BodyText"/>
        <w:ind w:left="1" w:right="140"/>
        <w:jc w:val="both"/>
      </w:pPr>
      <w:r>
        <w:rPr/>
        <w:t>fotocopia constante de ciento siete fojas útiles, concuerda fiel y exactamente con su original que corresponde a la sentencia de doce de mayo último dictada en la acción de inconstitucionalidad 29/2008 promovida por diputados integrantes de la Sexagésima Legislatura del Congreso de la Unión en contra</w:t>
      </w:r>
      <w:r>
        <w:rPr>
          <w:spacing w:val="40"/>
        </w:rPr>
        <w:t> </w:t>
      </w:r>
      <w:r>
        <w:rPr/>
        <w:t>del propio Congreso y del Presidente Constitucional de los Estados Unidos Mexicanos. Se certifica para publicarla íntegramente en el Diario Oficial de la Federación, en cumplimiento a lo ordenado por el señor Ministro Guillermo I. Ortiz Mayagoitia Presidente de esta Suprema Corte de Justicia de la Nación.-</w:t>
      </w:r>
      <w:r>
        <w:rPr>
          <w:spacing w:val="40"/>
        </w:rPr>
        <w:t> </w:t>
      </w:r>
      <w:r>
        <w:rPr/>
        <w:t>México, Distrito Federal, a dieciséis de junio de dos mil ocho.- Rúbrica.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4"/>
      </w:pPr>
    </w:p>
    <w:p>
      <w:pPr>
        <w:pStyle w:val="Heading2"/>
        <w:ind w:right="143"/>
        <w:jc w:val="both"/>
      </w:pPr>
      <w:r>
        <w:rPr/>
        <w:t>VOTO concurrente que formula el Ministro Genaro David Góngora Pimentel en la Acción de Inconstitucionalidad 29/2008, promovida por diputados integrantes de la Sexagésima Legislatura del Congreso de la Unión.</w:t>
      </w:r>
    </w:p>
    <w:p>
      <w:pPr>
        <w:spacing w:before="234"/>
        <w:ind w:left="1156" w:right="129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24</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2008</w:t>
      </w:r>
    </w:p>
    <w:p>
      <w:pPr>
        <w:spacing w:after="0"/>
        <w:jc w:val="center"/>
        <w:rPr>
          <w:sz w:val="16"/>
        </w:rPr>
        <w:sectPr>
          <w:pgSz w:w="12250" w:h="15850"/>
          <w:pgMar w:header="724" w:footer="712" w:top="1880" w:bottom="900" w:left="1417" w:right="1275"/>
        </w:sectPr>
      </w:pPr>
    </w:p>
    <w:p>
      <w:pPr>
        <w:pStyle w:val="BodyText"/>
        <w:spacing w:before="40"/>
        <w:rPr>
          <w:sz w:val="22"/>
        </w:rPr>
      </w:pPr>
    </w:p>
    <w:p>
      <w:pPr>
        <w:pStyle w:val="Heading2"/>
        <w:ind w:right="144"/>
        <w:jc w:val="both"/>
      </w:pPr>
      <w:r>
        <w:rPr/>
        <w:t>DECRETO por el que se reforman y adicionan diversas disposiciones de la Ley del Impuesto sobre la Renta, de la Ley del Impuesto sobre Tenencia o Uso de Vehículos y de la Ley de Coordinación Fiscal.</w:t>
      </w:r>
    </w:p>
    <w:p>
      <w:pPr>
        <w:spacing w:before="233"/>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2008</w:t>
      </w:r>
    </w:p>
    <w:p>
      <w:pPr>
        <w:pStyle w:val="BodyText"/>
        <w:spacing w:before="44"/>
        <w:rPr>
          <w:sz w:val="16"/>
        </w:rPr>
      </w:pPr>
    </w:p>
    <w:p>
      <w:pPr>
        <w:pStyle w:val="BodyText"/>
        <w:spacing w:line="242" w:lineRule="auto"/>
        <w:ind w:left="1" w:firstLine="288"/>
      </w:pPr>
      <w:r>
        <w:rPr>
          <w:rFonts w:ascii="Arial" w:hAnsi="Arial"/>
          <w:b/>
        </w:rPr>
        <w:t>Artículo</w:t>
      </w:r>
      <w:r>
        <w:rPr>
          <w:rFonts w:ascii="Arial" w:hAnsi="Arial"/>
          <w:b/>
          <w:spacing w:val="79"/>
        </w:rPr>
        <w:t> </w:t>
      </w:r>
      <w:r>
        <w:rPr>
          <w:rFonts w:ascii="Arial" w:hAnsi="Arial"/>
          <w:b/>
        </w:rPr>
        <w:t>Tercero.</w:t>
      </w:r>
      <w:r>
        <w:rPr>
          <w:rFonts w:ascii="Arial" w:hAnsi="Arial"/>
          <w:b/>
          <w:spacing w:val="80"/>
        </w:rPr>
        <w:t> </w:t>
      </w:r>
      <w:r>
        <w:rPr/>
        <w:t>Se</w:t>
      </w:r>
      <w:r>
        <w:rPr>
          <w:spacing w:val="79"/>
        </w:rPr>
        <w:t> </w:t>
      </w:r>
      <w:r>
        <w:rPr/>
        <w:t>reforma</w:t>
      </w:r>
      <w:r>
        <w:rPr>
          <w:spacing w:val="79"/>
        </w:rPr>
        <w:t> </w:t>
      </w:r>
      <w:r>
        <w:rPr/>
        <w:t>el</w:t>
      </w:r>
      <w:r>
        <w:rPr>
          <w:spacing w:val="78"/>
        </w:rPr>
        <w:t> </w:t>
      </w:r>
      <w:r>
        <w:rPr/>
        <w:t>primer</w:t>
      </w:r>
      <w:r>
        <w:rPr>
          <w:spacing w:val="79"/>
        </w:rPr>
        <w:t> </w:t>
      </w:r>
      <w:r>
        <w:rPr/>
        <w:t>y</w:t>
      </w:r>
      <w:r>
        <w:rPr>
          <w:spacing w:val="73"/>
        </w:rPr>
        <w:t> </w:t>
      </w:r>
      <w:r>
        <w:rPr/>
        <w:t>segundo</w:t>
      </w:r>
      <w:r>
        <w:rPr>
          <w:spacing w:val="78"/>
        </w:rPr>
        <w:t> </w:t>
      </w:r>
      <w:r>
        <w:rPr/>
        <w:t>párrafos</w:t>
      </w:r>
      <w:r>
        <w:rPr>
          <w:spacing w:val="80"/>
        </w:rPr>
        <w:t> </w:t>
      </w:r>
      <w:r>
        <w:rPr/>
        <w:t>del</w:t>
      </w:r>
      <w:r>
        <w:rPr>
          <w:spacing w:val="80"/>
        </w:rPr>
        <w:t> </w:t>
      </w:r>
      <w:r>
        <w:rPr/>
        <w:t>artículo</w:t>
      </w:r>
      <w:r>
        <w:rPr>
          <w:spacing w:val="79"/>
        </w:rPr>
        <w:t> </w:t>
      </w:r>
      <w:r>
        <w:rPr/>
        <w:t>4o-B</w:t>
      </w:r>
      <w:r>
        <w:rPr>
          <w:spacing w:val="78"/>
        </w:rPr>
        <w:t> </w:t>
      </w:r>
      <w:r>
        <w:rPr/>
        <w:t>de</w:t>
      </w:r>
      <w:r>
        <w:rPr>
          <w:spacing w:val="79"/>
        </w:rPr>
        <w:t> </w:t>
      </w:r>
      <w:r>
        <w:rPr/>
        <w:t>la</w:t>
      </w:r>
      <w:r>
        <w:rPr>
          <w:spacing w:val="80"/>
        </w:rPr>
        <w:t> </w:t>
      </w:r>
      <w:r>
        <w:rPr/>
        <w:t>Ley</w:t>
      </w:r>
      <w:r>
        <w:rPr>
          <w:spacing w:val="75"/>
        </w:rPr>
        <w:t> </w:t>
      </w:r>
      <w:r>
        <w:rPr/>
        <w:t>de Coordinación Fiscal, para quedar como sigue:</w:t>
      </w:r>
    </w:p>
    <w:p>
      <w:pPr>
        <w:spacing w:before="229"/>
        <w:ind w:left="289" w:right="0" w:firstLine="0"/>
        <w:jc w:val="left"/>
        <w:rPr>
          <w:sz w:val="20"/>
        </w:rPr>
      </w:pPr>
      <w:r>
        <w:rPr>
          <w:spacing w:val="-4"/>
          <w:sz w:val="20"/>
        </w:rPr>
        <w:t>……….</w:t>
      </w:r>
    </w:p>
    <w:p>
      <w:pPr>
        <w:pStyle w:val="Heading2"/>
        <w:spacing w:before="227"/>
        <w:ind w:left="1156" w:right="1291"/>
      </w:pPr>
      <w:r>
        <w:rPr>
          <w:spacing w:val="-2"/>
        </w:rPr>
        <w:t>Transitorio</w:t>
      </w:r>
    </w:p>
    <w:p>
      <w:pPr>
        <w:pStyle w:val="BodyText"/>
        <w:spacing w:before="1"/>
        <w:rPr>
          <w:rFonts w:ascii="Arial"/>
          <w:b/>
        </w:rPr>
      </w:pPr>
    </w:p>
    <w:p>
      <w:pPr>
        <w:pStyle w:val="BodyText"/>
        <w:ind w:left="289"/>
      </w:pPr>
      <w:r>
        <w:rPr>
          <w:rFonts w:ascii="Arial" w:hAnsi="Arial"/>
          <w:b/>
        </w:rPr>
        <w:t>Único.</w:t>
      </w:r>
      <w:r>
        <w:rPr>
          <w:rFonts w:ascii="Arial" w:hAnsi="Arial"/>
          <w:b/>
          <w:spacing w:val="-6"/>
        </w:rPr>
        <w:t> </w:t>
      </w:r>
      <w:r>
        <w:rPr/>
        <w:t>El</w:t>
      </w:r>
      <w:r>
        <w:rPr>
          <w:spacing w:val="-6"/>
        </w:rPr>
        <w:t> </w:t>
      </w:r>
      <w:r>
        <w:rPr/>
        <w:t>presente</w:t>
      </w:r>
      <w:r>
        <w:rPr>
          <w:spacing w:val="-4"/>
        </w:rPr>
        <w:t> </w:t>
      </w:r>
      <w:r>
        <w:rPr/>
        <w:t>decreto</w:t>
      </w:r>
      <w:r>
        <w:rPr>
          <w:spacing w:val="-4"/>
        </w:rPr>
        <w:t> </w:t>
      </w:r>
      <w:r>
        <w:rPr/>
        <w:t>entrará</w:t>
      </w:r>
      <w:r>
        <w:rPr>
          <w:spacing w:val="-3"/>
        </w:rPr>
        <w:t> </w:t>
      </w:r>
      <w:r>
        <w:rPr/>
        <w:t>en</w:t>
      </w:r>
      <w:r>
        <w:rPr>
          <w:spacing w:val="-5"/>
        </w:rPr>
        <w:t> </w:t>
      </w:r>
      <w:r>
        <w:rPr/>
        <w:t>vigor</w:t>
      </w:r>
      <w:r>
        <w:rPr>
          <w:spacing w:val="-4"/>
        </w:rPr>
        <w:t> </w:t>
      </w:r>
      <w:r>
        <w:rPr/>
        <w:t>el</w:t>
      </w:r>
      <w:r>
        <w:rPr>
          <w:spacing w:val="-7"/>
        </w:rPr>
        <w:t> </w:t>
      </w:r>
      <w:r>
        <w:rPr/>
        <w:t>1o.</w:t>
      </w:r>
      <w:r>
        <w:rPr>
          <w:spacing w:val="-5"/>
        </w:rPr>
        <w:t> </w:t>
      </w:r>
      <w:r>
        <w:rPr/>
        <w:t>de</w:t>
      </w:r>
      <w:r>
        <w:rPr>
          <w:spacing w:val="-6"/>
        </w:rPr>
        <w:t> </w:t>
      </w:r>
      <w:r>
        <w:rPr/>
        <w:t>enero</w:t>
      </w:r>
      <w:r>
        <w:rPr>
          <w:spacing w:val="-5"/>
        </w:rPr>
        <w:t> </w:t>
      </w:r>
      <w:r>
        <w:rPr/>
        <w:t>de</w:t>
      </w:r>
      <w:r>
        <w:rPr>
          <w:spacing w:val="-6"/>
        </w:rPr>
        <w:t> </w:t>
      </w:r>
      <w:r>
        <w:rPr>
          <w:spacing w:val="-2"/>
        </w:rPr>
        <w:t>2009.</w:t>
      </w:r>
    </w:p>
    <w:p>
      <w:pPr>
        <w:spacing w:before="229"/>
        <w:ind w:left="1" w:right="141" w:firstLine="288"/>
        <w:jc w:val="both"/>
        <w:rPr>
          <w:rFonts w:ascii="Arial" w:hAnsi="Arial"/>
          <w:b/>
          <w:sz w:val="20"/>
        </w:rPr>
      </w:pPr>
      <w:r>
        <w:rPr>
          <w:sz w:val="20"/>
        </w:rPr>
        <w:t>México, D.F., a 4 de diciembre de 2008.- Dip. </w:t>
      </w:r>
      <w:r>
        <w:rPr>
          <w:rFonts w:ascii="Arial" w:hAnsi="Arial"/>
          <w:b/>
          <w:sz w:val="20"/>
        </w:rPr>
        <w:t>Cesar Horacio Duarte Jaquez</w:t>
      </w:r>
      <w:r>
        <w:rPr>
          <w:sz w:val="20"/>
        </w:rPr>
        <w:t>, Presidente.- Sen. </w:t>
      </w:r>
      <w:r>
        <w:rPr>
          <w:rFonts w:ascii="Arial" w:hAnsi="Arial"/>
          <w:b/>
          <w:sz w:val="20"/>
        </w:rPr>
        <w:t>Gustavo Enrique Madero Muñoz</w:t>
      </w:r>
      <w:r>
        <w:rPr>
          <w:sz w:val="20"/>
        </w:rPr>
        <w:t>, Presidente.- Dip. </w:t>
      </w:r>
      <w:r>
        <w:rPr>
          <w:rFonts w:ascii="Arial" w:hAnsi="Arial"/>
          <w:b/>
          <w:sz w:val="20"/>
        </w:rPr>
        <w:t>Rosa Elia Romero Guzman</w:t>
      </w:r>
      <w:r>
        <w:rPr>
          <w:sz w:val="20"/>
        </w:rPr>
        <w:t>, Secretaria.- Sen. </w:t>
      </w:r>
      <w:r>
        <w:rPr>
          <w:rFonts w:ascii="Arial" w:hAnsi="Arial"/>
          <w:b/>
          <w:sz w:val="20"/>
        </w:rPr>
        <w:t>Adrián Rivera Pérez</w:t>
      </w:r>
      <w:r>
        <w:rPr>
          <w:sz w:val="20"/>
        </w:rPr>
        <w:t>, Secretario.- Rúbricas.</w:t>
      </w:r>
      <w:r>
        <w:rPr>
          <w:rFonts w:ascii="Arial" w:hAnsi="Arial"/>
          <w:b/>
          <w:sz w:val="20"/>
        </w:rPr>
        <w:t>"</w:t>
      </w:r>
    </w:p>
    <w:p>
      <w:pPr>
        <w:pStyle w:val="BodyText"/>
        <w:spacing w:before="4"/>
        <w:rPr>
          <w:rFonts w:ascii="Arial"/>
          <w:b/>
        </w:rPr>
      </w:pPr>
    </w:p>
    <w:p>
      <w:pPr>
        <w:pStyle w:val="BodyText"/>
        <w:ind w:left="1" w:right="14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diciembre de dos mil ocho.-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jc w:val="left"/>
      </w:pPr>
      <w:r>
        <w:rPr/>
        <w:t>DECRETO</w:t>
      </w:r>
      <w:r>
        <w:rPr>
          <w:spacing w:val="-4"/>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4"/>
        </w:rPr>
        <w:t> </w:t>
      </w:r>
      <w:r>
        <w:rPr/>
        <w:t>artículo</w:t>
      </w:r>
      <w:r>
        <w:rPr>
          <w:spacing w:val="-3"/>
        </w:rPr>
        <w:t> </w:t>
      </w:r>
      <w:r>
        <w:rPr/>
        <w:t>40</w:t>
      </w:r>
      <w:r>
        <w:rPr>
          <w:spacing w:val="-5"/>
        </w:rPr>
        <w:t> </w:t>
      </w:r>
      <w:r>
        <w:rPr/>
        <w:t>de</w:t>
      </w:r>
      <w:r>
        <w:rPr>
          <w:spacing w:val="-5"/>
        </w:rPr>
        <w:t> </w:t>
      </w:r>
      <w:r>
        <w:rPr/>
        <w:t>la</w:t>
      </w:r>
      <w:r>
        <w:rPr>
          <w:spacing w:val="-3"/>
        </w:rPr>
        <w:t> </w:t>
      </w:r>
      <w:r>
        <w:rPr/>
        <w:t>Ley</w:t>
      </w:r>
      <w:r>
        <w:rPr>
          <w:spacing w:val="-7"/>
        </w:rPr>
        <w:t> </w:t>
      </w:r>
      <w:r>
        <w:rPr/>
        <w:t>de</w:t>
      </w:r>
      <w:r>
        <w:rPr>
          <w:spacing w:val="-3"/>
        </w:rPr>
        <w:t> </w:t>
      </w:r>
      <w:r>
        <w:rPr/>
        <w:t>Coordinación</w:t>
      </w:r>
      <w:r>
        <w:rPr>
          <w:spacing w:val="-3"/>
        </w:rPr>
        <w:t> </w:t>
      </w:r>
      <w:r>
        <w:rPr>
          <w:spacing w:val="-2"/>
        </w:rPr>
        <w:t>Fiscal.</w:t>
      </w:r>
    </w:p>
    <w:p>
      <w:pPr>
        <w:spacing w:before="233"/>
        <w:ind w:left="0" w:right="14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2009</w:t>
      </w:r>
    </w:p>
    <w:p>
      <w:pPr>
        <w:pStyle w:val="BodyText"/>
        <w:spacing w:before="45"/>
        <w:rPr>
          <w:sz w:val="16"/>
        </w:rPr>
      </w:pPr>
    </w:p>
    <w:p>
      <w:pPr>
        <w:pStyle w:val="BodyText"/>
        <w:spacing w:before="1"/>
        <w:ind w:left="289"/>
      </w:pPr>
      <w:r>
        <w:rPr>
          <w:rFonts w:ascii="Arial" w:hAnsi="Arial"/>
          <w:b/>
        </w:rPr>
        <w:t>Artículo</w:t>
      </w:r>
      <w:r>
        <w:rPr>
          <w:rFonts w:ascii="Arial" w:hAnsi="Arial"/>
          <w:b/>
          <w:spacing w:val="-5"/>
        </w:rPr>
        <w:t> </w:t>
      </w:r>
      <w:r>
        <w:rPr>
          <w:rFonts w:ascii="Arial" w:hAnsi="Arial"/>
          <w:b/>
        </w:rPr>
        <w:t>Único.</w:t>
      </w:r>
      <w:r>
        <w:rPr>
          <w:rFonts w:ascii="Arial" w:hAnsi="Arial"/>
          <w:b/>
          <w:spacing w:val="-5"/>
        </w:rPr>
        <w:t> </w:t>
      </w:r>
      <w:r>
        <w:rPr/>
        <w:t>Se</w:t>
      </w:r>
      <w:r>
        <w:rPr>
          <w:spacing w:val="-5"/>
        </w:rPr>
        <w:t> </w:t>
      </w:r>
      <w:r>
        <w:rPr/>
        <w:t>reforma</w:t>
      </w:r>
      <w:r>
        <w:rPr>
          <w:spacing w:val="-6"/>
        </w:rPr>
        <w:t> </w:t>
      </w:r>
      <w:r>
        <w:rPr/>
        <w:t>el</w:t>
      </w:r>
      <w:r>
        <w:rPr>
          <w:spacing w:val="-4"/>
        </w:rPr>
        <w:t> </w:t>
      </w:r>
      <w:r>
        <w:rPr/>
        <w:t>artículo</w:t>
      </w:r>
      <w:r>
        <w:rPr>
          <w:spacing w:val="-6"/>
        </w:rPr>
        <w:t> </w:t>
      </w:r>
      <w:r>
        <w:rPr/>
        <w:t>40</w:t>
      </w:r>
      <w:r>
        <w:rPr>
          <w:spacing w:val="-6"/>
        </w:rPr>
        <w:t> </w:t>
      </w:r>
      <w:r>
        <w:rPr/>
        <w:t>de</w:t>
      </w:r>
      <w:r>
        <w:rPr>
          <w:spacing w:val="-5"/>
        </w:rPr>
        <w:t> </w:t>
      </w:r>
      <w:r>
        <w:rPr/>
        <w:t>la</w:t>
      </w:r>
      <w:r>
        <w:rPr>
          <w:spacing w:val="-6"/>
        </w:rPr>
        <w:t> </w:t>
      </w:r>
      <w:r>
        <w:rPr/>
        <w:t>Ley</w:t>
      </w:r>
      <w:r>
        <w:rPr>
          <w:spacing w:val="-6"/>
        </w:rPr>
        <w:t> </w:t>
      </w:r>
      <w:r>
        <w:rPr/>
        <w:t>de</w:t>
      </w:r>
      <w:r>
        <w:rPr>
          <w:spacing w:val="-6"/>
        </w:rPr>
        <w:t> </w:t>
      </w:r>
      <w:r>
        <w:rPr/>
        <w:t>Coordinación</w:t>
      </w:r>
      <w:r>
        <w:rPr>
          <w:spacing w:val="-5"/>
        </w:rPr>
        <w:t> </w:t>
      </w:r>
      <w:r>
        <w:rPr/>
        <w:t>Fiscal,</w:t>
      </w:r>
      <w:r>
        <w:rPr>
          <w:spacing w:val="-6"/>
        </w:rPr>
        <w:t> </w:t>
      </w:r>
      <w:r>
        <w:rPr/>
        <w:t>para</w:t>
      </w:r>
      <w:r>
        <w:rPr>
          <w:spacing w:val="-3"/>
        </w:rPr>
        <w:t> </w:t>
      </w:r>
      <w:r>
        <w:rPr/>
        <w:t>quedar</w:t>
      </w:r>
      <w:r>
        <w:rPr>
          <w:spacing w:val="-4"/>
        </w:rPr>
        <w:t> </w:t>
      </w:r>
      <w:r>
        <w:rPr/>
        <w:t>como</w:t>
      </w:r>
      <w:r>
        <w:rPr>
          <w:spacing w:val="-6"/>
        </w:rPr>
        <w:t> </w:t>
      </w:r>
      <w:r>
        <w:rPr>
          <w:spacing w:val="-2"/>
        </w:rPr>
        <w:t>sigue:</w:t>
      </w:r>
    </w:p>
    <w:p>
      <w:pPr>
        <w:pStyle w:val="BodyText"/>
      </w:pPr>
    </w:p>
    <w:p>
      <w:pPr>
        <w:spacing w:before="1"/>
        <w:ind w:left="289"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ind w:left="289"/>
      </w:pPr>
      <w:r>
        <w:rPr>
          <w:rFonts w:ascii="Arial" w:hAnsi="Arial"/>
          <w:b/>
        </w:rPr>
        <w:t>Primero.</w:t>
      </w:r>
      <w:r>
        <w:rPr>
          <w:rFonts w:ascii="Arial" w:hAnsi="Arial"/>
          <w:b/>
          <w:spacing w:val="-5"/>
        </w:rPr>
        <w:t> </w:t>
      </w:r>
      <w:r>
        <w:rPr/>
        <w:t>El</w:t>
      </w:r>
      <w:r>
        <w:rPr>
          <w:spacing w:val="-5"/>
        </w:rPr>
        <w:t> </w:t>
      </w:r>
      <w:r>
        <w:rPr/>
        <w:t>presente</w:t>
      </w:r>
      <w:r>
        <w:rPr>
          <w:spacing w:val="-7"/>
        </w:rPr>
        <w:t> </w:t>
      </w:r>
      <w:r>
        <w:rPr/>
        <w:t>Decreto</w:t>
      </w:r>
      <w:r>
        <w:rPr>
          <w:spacing w:val="-7"/>
        </w:rPr>
        <w:t> </w:t>
      </w:r>
      <w:r>
        <w:rPr/>
        <w:t>entrará</w:t>
      </w:r>
      <w:r>
        <w:rPr>
          <w:spacing w:val="-5"/>
        </w:rPr>
        <w:t> </w:t>
      </w:r>
      <w:r>
        <w:rPr/>
        <w:t>en</w:t>
      </w:r>
      <w:r>
        <w:rPr>
          <w:spacing w:val="-5"/>
        </w:rPr>
        <w:t> </w:t>
      </w:r>
      <w:r>
        <w:rPr/>
        <w:t>vigor</w:t>
      </w:r>
      <w:r>
        <w:rPr>
          <w:spacing w:val="-5"/>
        </w:rPr>
        <w:t> </w:t>
      </w:r>
      <w:r>
        <w:rPr/>
        <w:t>el</w:t>
      </w:r>
      <w:r>
        <w:rPr>
          <w:spacing w:val="-7"/>
        </w:rPr>
        <w:t> </w:t>
      </w:r>
      <w:r>
        <w:rPr/>
        <w:t>1</w:t>
      </w:r>
      <w:r>
        <w:rPr>
          <w:spacing w:val="-4"/>
        </w:rPr>
        <w:t> </w:t>
      </w:r>
      <w:r>
        <w:rPr/>
        <w:t>de</w:t>
      </w:r>
      <w:r>
        <w:rPr>
          <w:spacing w:val="-6"/>
        </w:rPr>
        <w:t> </w:t>
      </w:r>
      <w:r>
        <w:rPr/>
        <w:t>enero</w:t>
      </w:r>
      <w:r>
        <w:rPr>
          <w:spacing w:val="-4"/>
        </w:rPr>
        <w:t> </w:t>
      </w:r>
      <w:r>
        <w:rPr/>
        <w:t>de</w:t>
      </w:r>
      <w:r>
        <w:rPr>
          <w:spacing w:val="-5"/>
        </w:rPr>
        <w:t> </w:t>
      </w:r>
      <w:r>
        <w:rPr>
          <w:spacing w:val="-2"/>
        </w:rPr>
        <w:t>2010.</w:t>
      </w:r>
    </w:p>
    <w:p>
      <w:pPr>
        <w:pStyle w:val="BodyText"/>
        <w:spacing w:before="2"/>
      </w:pPr>
    </w:p>
    <w:p>
      <w:pPr>
        <w:pStyle w:val="BodyText"/>
        <w:ind w:left="1" w:right="139" w:firstLine="288"/>
        <w:jc w:val="both"/>
      </w:pPr>
      <w:r>
        <w:rPr>
          <w:rFonts w:ascii="Arial" w:hAnsi="Arial"/>
          <w:b/>
        </w:rPr>
        <w:t>Segundo. </w:t>
      </w:r>
      <w:r>
        <w:rPr/>
        <w:t>En la aprobación del Presupuesto de Egresos de la Federación para los ejercicios 2010, 2011, 2012, 2013 y 2014, la Cámara de Diputados proveerá lo conducente a fin de que la asignación de recursos no distribuibles geográficamente del Fondo de Aportaciones múltiples, se incremente para el nivel medio superior.</w:t>
      </w:r>
    </w:p>
    <w:p>
      <w:pPr>
        <w:spacing w:before="230"/>
        <w:ind w:left="1" w:right="140" w:firstLine="288"/>
        <w:jc w:val="both"/>
        <w:rPr>
          <w:rFonts w:ascii="Arial" w:hAnsi="Arial"/>
          <w:b/>
          <w:sz w:val="20"/>
        </w:rPr>
      </w:pPr>
      <w:r>
        <w:rPr>
          <w:sz w:val="20"/>
        </w:rPr>
        <w:t>México, D.F., a 30 de abril de 2009.- Dip. </w:t>
      </w:r>
      <w:r>
        <w:rPr>
          <w:rFonts w:ascii="Arial" w:hAnsi="Arial"/>
          <w:b/>
          <w:sz w:val="20"/>
        </w:rPr>
        <w:t>Cesar Horacio Duarte Jaquez</w:t>
      </w:r>
      <w:r>
        <w:rPr>
          <w:sz w:val="20"/>
        </w:rPr>
        <w:t>, Presidente.- Sen. </w:t>
      </w:r>
      <w:r>
        <w:rPr>
          <w:rFonts w:ascii="Arial" w:hAnsi="Arial"/>
          <w:b/>
          <w:sz w:val="20"/>
        </w:rPr>
        <w:t>Gustavo Enrique Madero Muñoz</w:t>
      </w:r>
      <w:r>
        <w:rPr>
          <w:sz w:val="20"/>
        </w:rPr>
        <w:t>, Presidente.- Dip. </w:t>
      </w:r>
      <w:r>
        <w:rPr>
          <w:rFonts w:ascii="Arial" w:hAnsi="Arial"/>
          <w:b/>
          <w:sz w:val="20"/>
        </w:rPr>
        <w:t>Maria Eugenia Jimenez Valenzuela</w:t>
      </w:r>
      <w:r>
        <w:rPr>
          <w:sz w:val="20"/>
        </w:rPr>
        <w:t>, Secretaria.- Sen. </w:t>
      </w:r>
      <w:r>
        <w:rPr>
          <w:rFonts w:ascii="Arial" w:hAnsi="Arial"/>
          <w:b/>
          <w:sz w:val="20"/>
        </w:rPr>
        <w:t>Gabino Cué Monteagudo</w:t>
      </w:r>
      <w:r>
        <w:rPr>
          <w:sz w:val="20"/>
        </w:rPr>
        <w:t>, Secretario.- Rúbricas.</w:t>
      </w:r>
      <w:r>
        <w:rPr>
          <w:rFonts w:ascii="Arial" w:hAnsi="Arial"/>
          <w:b/>
          <w:sz w:val="20"/>
        </w:rPr>
        <w:t>"</w:t>
      </w:r>
    </w:p>
    <w:p>
      <w:pPr>
        <w:pStyle w:val="BodyText"/>
        <w:spacing w:before="1"/>
        <w:rPr>
          <w:rFonts w:ascii="Arial"/>
          <w:b/>
        </w:rPr>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 junio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38"/>
        <w:jc w:val="both"/>
      </w:pPr>
      <w:r>
        <w:rPr/>
        <w:t>DECRETO por el que se reforman diversos artículos del Decreto por el que se reforman, adicionan, derogan y abrogan diversas disposiciones de la Ley de Coordinación Fiscal, de la Ley del Impuesto sobre Tenencia o Uso de Vehículos y de la Ley del Impuesto Especial sobre Producción y Servicios, publicado el 21 de diciembre de 2007.</w:t>
      </w:r>
    </w:p>
    <w:p>
      <w:pPr>
        <w:spacing w:before="232"/>
        <w:ind w:left="0" w:right="14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2011</w:t>
      </w:r>
    </w:p>
    <w:p>
      <w:pPr>
        <w:pStyle w:val="BodyText"/>
        <w:spacing w:before="46"/>
        <w:rPr>
          <w:sz w:val="16"/>
        </w:rPr>
      </w:pPr>
    </w:p>
    <w:p>
      <w:pPr>
        <w:pStyle w:val="BodyText"/>
        <w:ind w:left="1" w:right="139" w:firstLine="288"/>
        <w:jc w:val="both"/>
      </w:pPr>
      <w:r>
        <w:rPr>
          <w:rFonts w:ascii="Arial" w:hAnsi="Arial"/>
          <w:b/>
        </w:rPr>
        <w:t>Artículo Único. </w:t>
      </w:r>
      <w:r>
        <w:rPr/>
        <w:t>Se reforman los artículos Segundo, fracción III, tercer párrafo y Sexto, fracción III, del “Decreto por el que se reforman, adicionan, derogan y abrogan diversas disposiciones de la Ley de Coordinación Fiscal, de la Ley del Impuesto sobre Tenencia o Uso de Vehículos y</w:t>
      </w:r>
      <w:r>
        <w:rPr>
          <w:spacing w:val="-1"/>
        </w:rPr>
        <w:t> </w:t>
      </w:r>
      <w:r>
        <w:rPr/>
        <w:t>de la Ley del Impuesto Especial</w:t>
      </w:r>
      <w:r>
        <w:rPr>
          <w:spacing w:val="-3"/>
        </w:rPr>
        <w:t> </w:t>
      </w:r>
      <w:r>
        <w:rPr/>
        <w:t>sobre Producción y</w:t>
      </w:r>
      <w:r>
        <w:rPr>
          <w:spacing w:val="-3"/>
        </w:rPr>
        <w:t> </w:t>
      </w:r>
      <w:r>
        <w:rPr/>
        <w:t>Servicios.”,</w:t>
      </w:r>
      <w:r>
        <w:rPr>
          <w:spacing w:val="-2"/>
        </w:rPr>
        <w:t> </w:t>
      </w:r>
      <w:r>
        <w:rPr/>
        <w:t>publicado</w:t>
      </w:r>
      <w:r>
        <w:rPr>
          <w:spacing w:val="-2"/>
        </w:rPr>
        <w:t> </w:t>
      </w:r>
      <w:r>
        <w:rPr/>
        <w:t>en el</w:t>
      </w:r>
      <w:r>
        <w:rPr>
          <w:spacing w:val="-1"/>
        </w:rPr>
        <w:t> </w:t>
      </w:r>
      <w:r>
        <w:rPr/>
        <w:t>Diario</w:t>
      </w:r>
      <w:r>
        <w:rPr>
          <w:spacing w:val="-2"/>
        </w:rPr>
        <w:t> </w:t>
      </w:r>
      <w:r>
        <w:rPr/>
        <w:t>Oficial</w:t>
      </w:r>
      <w:r>
        <w:rPr>
          <w:spacing w:val="-1"/>
        </w:rPr>
        <w:t> </w:t>
      </w:r>
      <w:r>
        <w:rPr/>
        <w:t>de la</w:t>
      </w:r>
      <w:r>
        <w:rPr>
          <w:spacing w:val="-2"/>
        </w:rPr>
        <w:t> </w:t>
      </w:r>
      <w:r>
        <w:rPr/>
        <w:t>Federación el</w:t>
      </w:r>
      <w:r>
        <w:rPr>
          <w:spacing w:val="-3"/>
        </w:rPr>
        <w:t> </w:t>
      </w:r>
      <w:r>
        <w:rPr/>
        <w:t>21 de</w:t>
      </w:r>
      <w:r>
        <w:rPr>
          <w:spacing w:val="-1"/>
        </w:rPr>
        <w:t> </w:t>
      </w:r>
      <w:r>
        <w:rPr/>
        <w:t>diciembre de 2007, para quedar como sigue:</w:t>
      </w:r>
    </w:p>
    <w:p>
      <w:pPr>
        <w:pStyle w:val="BodyText"/>
        <w:spacing w:before="3"/>
      </w:pPr>
    </w:p>
    <w:p>
      <w:pPr>
        <w:spacing w:before="0"/>
        <w:ind w:left="289" w:right="0" w:firstLine="0"/>
        <w:jc w:val="left"/>
        <w:rPr>
          <w:sz w:val="20"/>
        </w:rPr>
      </w:pPr>
      <w:r>
        <w:rPr>
          <w:spacing w:val="-4"/>
          <w:sz w:val="20"/>
        </w:rPr>
        <w:t>……….</w:t>
      </w:r>
    </w:p>
    <w:p>
      <w:pPr>
        <w:pStyle w:val="Heading1"/>
        <w:spacing w:before="227"/>
        <w:ind w:right="1298"/>
      </w:pPr>
      <w:r>
        <w:rPr>
          <w:spacing w:val="-2"/>
        </w:rPr>
        <w:t>TRANSITORIO</w:t>
      </w:r>
    </w:p>
    <w:p>
      <w:pPr>
        <w:pStyle w:val="BodyText"/>
        <w:spacing w:before="1"/>
        <w:rPr>
          <w:rFonts w:ascii="Arial"/>
          <w:b/>
        </w:rPr>
      </w:pPr>
    </w:p>
    <w:p>
      <w:pPr>
        <w:pStyle w:val="BodyText"/>
        <w:ind w:left="289"/>
      </w:pPr>
      <w:r>
        <w:rPr>
          <w:rFonts w:ascii="Arial" w:hAnsi="Arial"/>
          <w:b/>
        </w:rPr>
        <w:t>Único.-</w:t>
      </w:r>
      <w:r>
        <w:rPr>
          <w:rFonts w:ascii="Arial" w:hAnsi="Arial"/>
          <w:b/>
          <w:spacing w:val="-5"/>
        </w:rPr>
        <w:t> </w:t>
      </w:r>
      <w:r>
        <w:rPr/>
        <w:t>El</w:t>
      </w:r>
      <w:r>
        <w:rPr>
          <w:spacing w:val="-7"/>
        </w:rPr>
        <w:t> </w:t>
      </w:r>
      <w:r>
        <w:rPr/>
        <w:t>presente</w:t>
      </w:r>
      <w:r>
        <w:rPr>
          <w:spacing w:val="-6"/>
        </w:rPr>
        <w:t> </w:t>
      </w:r>
      <w:r>
        <w:rPr/>
        <w:t>Decreto</w:t>
      </w:r>
      <w:r>
        <w:rPr>
          <w:spacing w:val="-6"/>
        </w:rPr>
        <w:t> </w:t>
      </w:r>
      <w:r>
        <w:rPr/>
        <w:t>entrará</w:t>
      </w:r>
      <w:r>
        <w:rPr>
          <w:spacing w:val="-6"/>
        </w:rPr>
        <w:t> </w:t>
      </w:r>
      <w:r>
        <w:rPr/>
        <w:t>en</w:t>
      </w:r>
      <w:r>
        <w:rPr>
          <w:spacing w:val="-4"/>
        </w:rPr>
        <w:t> </w:t>
      </w:r>
      <w:r>
        <w:rPr/>
        <w:t>vigor</w:t>
      </w:r>
      <w:r>
        <w:rPr>
          <w:spacing w:val="-3"/>
        </w:rPr>
        <w:t> </w:t>
      </w:r>
      <w:r>
        <w:rPr/>
        <w:t>el</w:t>
      </w:r>
      <w:r>
        <w:rPr>
          <w:spacing w:val="-4"/>
        </w:rPr>
        <w:t> </w:t>
      </w:r>
      <w:r>
        <w:rPr/>
        <w:t>día</w:t>
      </w:r>
      <w:r>
        <w:rPr>
          <w:spacing w:val="-7"/>
        </w:rPr>
        <w:t> </w:t>
      </w:r>
      <w:r>
        <w:rPr/>
        <w:t>siguiente</w:t>
      </w:r>
      <w:r>
        <w:rPr>
          <w:spacing w:val="-5"/>
        </w:rPr>
        <w:t> </w:t>
      </w:r>
      <w:r>
        <w:rPr/>
        <w:t>al</w:t>
      </w:r>
      <w:r>
        <w:rPr>
          <w:spacing w:val="-5"/>
        </w:rPr>
        <w:t> </w:t>
      </w:r>
      <w:r>
        <w:rPr/>
        <w:t>de</w:t>
      </w:r>
      <w:r>
        <w:rPr>
          <w:spacing w:val="-6"/>
        </w:rPr>
        <w:t> </w:t>
      </w:r>
      <w:r>
        <w:rPr/>
        <w:t>su</w:t>
      </w:r>
      <w:r>
        <w:rPr>
          <w:spacing w:val="-4"/>
        </w:rPr>
        <w:t> </w:t>
      </w:r>
      <w:r>
        <w:rPr>
          <w:spacing w:val="-2"/>
        </w:rPr>
        <w:t>publicación</w:t>
      </w:r>
    </w:p>
    <w:p>
      <w:pPr>
        <w:spacing w:before="229"/>
        <w:ind w:left="1" w:right="139" w:firstLine="288"/>
        <w:jc w:val="both"/>
        <w:rPr>
          <w:rFonts w:ascii="Arial" w:hAnsi="Arial"/>
          <w:b/>
          <w:sz w:val="20"/>
        </w:rPr>
      </w:pPr>
      <w:r>
        <w:rPr>
          <w:sz w:val="20"/>
        </w:rPr>
        <w:t>México, D.F., a 27 de octubre de 2011.- Dip. </w:t>
      </w:r>
      <w:r>
        <w:rPr>
          <w:rFonts w:ascii="Arial" w:hAnsi="Arial"/>
          <w:b/>
          <w:sz w:val="20"/>
        </w:rPr>
        <w:t>Emilio Chuayffet Chemor</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Adrián Rivera Pérez</w:t>
      </w:r>
      <w:r>
        <w:rPr>
          <w:sz w:val="20"/>
        </w:rPr>
        <w:t>, Secretario.- Rúbricas.</w:t>
      </w:r>
      <w:r>
        <w:rPr>
          <w:rFonts w:ascii="Arial" w:hAnsi="Arial"/>
          <w:b/>
          <w:sz w:val="20"/>
        </w:rPr>
        <w:t>"</w:t>
      </w:r>
    </w:p>
    <w:p>
      <w:pPr>
        <w:pStyle w:val="BodyText"/>
        <w:spacing w:before="3"/>
        <w:rPr>
          <w:rFonts w:ascii="Arial"/>
          <w:b/>
        </w:rPr>
      </w:pPr>
    </w:p>
    <w:p>
      <w:pPr>
        <w:pStyle w:val="BodyText"/>
        <w:spacing w:before="1"/>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nueve de diciembre de dos mil once.-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Ley</w:t>
      </w:r>
      <w:r>
        <w:rPr>
          <w:spacing w:val="40"/>
        </w:rPr>
        <w:t> </w:t>
      </w:r>
      <w:r>
        <w:rPr/>
        <w:t>de</w:t>
      </w:r>
      <w:r>
        <w:rPr>
          <w:spacing w:val="80"/>
        </w:rPr>
        <w:t> </w:t>
      </w:r>
      <w:r>
        <w:rPr/>
        <w:t>Coordinación Fiscal y de la Ley General de Contabilidad Gubernamental.</w:t>
      </w:r>
    </w:p>
    <w:p>
      <w:pPr>
        <w:spacing w:before="232"/>
        <w:ind w:left="1156" w:right="129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ind w:left="1" w:right="137" w:firstLine="288"/>
        <w:jc w:val="both"/>
      </w:pPr>
      <w:r>
        <w:rPr>
          <w:rFonts w:ascii="Arial" w:hAnsi="Arial"/>
          <w:b/>
        </w:rPr>
        <w:t>ARTÍCULO PRIMERO.- </w:t>
      </w:r>
      <w:r>
        <w:rPr/>
        <w:t>Se </w:t>
      </w:r>
      <w:r>
        <w:rPr>
          <w:rFonts w:ascii="Arial" w:hAnsi="Arial"/>
          <w:b/>
        </w:rPr>
        <w:t>REFORMAN </w:t>
      </w:r>
      <w:r>
        <w:rPr/>
        <w:t>los artículos 1o.; 2o., segundo, quinto y sexto párrafos; 2-A, primer párrafo, fracción I en su encabezado, segundo y quinto párrafos; 3-B; 4o.; 4o-A, fracciones I, II, y tercer párrafo del artículo; 4o-B, segundo y cuarto párrafos; 5o.; 6o. primer y cuarto párrafos; 9o., primer, segundo y actual tercer párrafos; 10-D, fracción II; 15, segundo párrafo; 19, fracción I; 25, fracción I; 26; 27; 31, segundo párrafo; 32; 33; 34; 35; 37; 39; 40; 43, fracción III; 44; 45; 49, primero, segundo, y los actuales cuarto, quinto y sexto párrafos; 50, primer párrafo; 51 primer y segundo párrafos; se</w:t>
      </w:r>
      <w:r>
        <w:rPr>
          <w:spacing w:val="40"/>
        </w:rPr>
        <w:t> </w:t>
      </w:r>
      <w:r>
        <w:rPr>
          <w:rFonts w:ascii="Arial" w:hAnsi="Arial"/>
          <w:b/>
        </w:rPr>
        <w:t>ADICIONAN </w:t>
      </w:r>
      <w:r>
        <w:rPr/>
        <w:t>los artículos 4o-B, quinto, sexto y séptimo párrafos; 6o., quinto párrafo; 9o., tercer y cuarto párrafos, pasando los actuales tercer a sexto párrafos a ser quinto</w:t>
      </w:r>
      <w:r>
        <w:rPr>
          <w:spacing w:val="-1"/>
        </w:rPr>
        <w:t> </w:t>
      </w:r>
      <w:r>
        <w:rPr/>
        <w:t>a octavo párrafos y</w:t>
      </w:r>
      <w:r>
        <w:rPr>
          <w:spacing w:val="-6"/>
        </w:rPr>
        <w:t> </w:t>
      </w:r>
      <w:r>
        <w:rPr/>
        <w:t>un noveno</w:t>
      </w:r>
      <w:r>
        <w:rPr>
          <w:spacing w:val="-1"/>
        </w:rPr>
        <w:t> </w:t>
      </w:r>
      <w:r>
        <w:rPr/>
        <w:t>párrafo; 20, fracciones III, con un segundo párrafo, y VI; 25, con un último párrafo; 26-A; 27-A; 41, segundo párrafo; 43, segundo párrafo; 48, quinto párrafo; 49, con los párrafos tercero y quinto, recorriéndose el actual párrafo tercero, el cual pasa a ser cuarto, así como recorriéndose los actuales párrafos cuarto a sexto, los cuales pasan a ser los párrafos sexto a octavo; 52, y se </w:t>
      </w:r>
      <w:r>
        <w:rPr>
          <w:rFonts w:ascii="Arial" w:hAnsi="Arial"/>
          <w:b/>
        </w:rPr>
        <w:t>DEROGAN </w:t>
      </w:r>
      <w:r>
        <w:rPr/>
        <w:t>los artículos 2o., tercer y cuarto párrafos; 10-C, fracción VIII; 10-D, segundo párrafo; 36, tercer párrafo, de la Ley de Coordinación Fiscal para quedar como sigue:</w:t>
      </w:r>
    </w:p>
    <w:p>
      <w:pPr>
        <w:pStyle w:val="BodyText"/>
        <w:spacing w:before="2"/>
      </w:pPr>
    </w:p>
    <w:p>
      <w:pPr>
        <w:spacing w:before="0"/>
        <w:ind w:left="289"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spacing w:before="1"/>
        <w:ind w:left="289"/>
      </w:pPr>
      <w:r>
        <w:rPr>
          <w:rFonts w:ascii="Arial" w:hAnsi="Arial"/>
          <w:b/>
        </w:rPr>
        <w:t>Primero.-</w:t>
      </w:r>
      <w:r>
        <w:rPr>
          <w:rFonts w:ascii="Arial" w:hAnsi="Arial"/>
          <w:b/>
          <w:spacing w:val="-4"/>
        </w:rPr>
        <w:t> </w:t>
      </w:r>
      <w:r>
        <w:rPr/>
        <w:t>El</w:t>
      </w:r>
      <w:r>
        <w:rPr>
          <w:spacing w:val="-6"/>
        </w:rPr>
        <w:t> </w:t>
      </w:r>
      <w:r>
        <w:rPr/>
        <w:t>presente</w:t>
      </w:r>
      <w:r>
        <w:rPr>
          <w:spacing w:val="-6"/>
        </w:rPr>
        <w:t> </w:t>
      </w:r>
      <w:r>
        <w:rPr/>
        <w:t>Decreto</w:t>
      </w:r>
      <w:r>
        <w:rPr>
          <w:spacing w:val="-7"/>
        </w:rPr>
        <w:t> </w:t>
      </w:r>
      <w:r>
        <w:rPr/>
        <w:t>entrará</w:t>
      </w:r>
      <w:r>
        <w:rPr>
          <w:spacing w:val="-5"/>
        </w:rPr>
        <w:t> </w:t>
      </w:r>
      <w:r>
        <w:rPr/>
        <w:t>en</w:t>
      </w:r>
      <w:r>
        <w:rPr>
          <w:spacing w:val="-5"/>
        </w:rPr>
        <w:t> </w:t>
      </w:r>
      <w:r>
        <w:rPr/>
        <w:t>vigor</w:t>
      </w:r>
      <w:r>
        <w:rPr>
          <w:spacing w:val="-6"/>
        </w:rPr>
        <w:t> </w:t>
      </w:r>
      <w:r>
        <w:rPr/>
        <w:t>el</w:t>
      </w:r>
      <w:r>
        <w:rPr>
          <w:spacing w:val="-7"/>
        </w:rPr>
        <w:t> </w:t>
      </w:r>
      <w:r>
        <w:rPr/>
        <w:t>1</w:t>
      </w:r>
      <w:r>
        <w:rPr>
          <w:spacing w:val="-4"/>
        </w:rPr>
        <w:t> </w:t>
      </w:r>
      <w:r>
        <w:rPr/>
        <w:t>de</w:t>
      </w:r>
      <w:r>
        <w:rPr>
          <w:spacing w:val="-6"/>
        </w:rPr>
        <w:t> </w:t>
      </w:r>
      <w:r>
        <w:rPr/>
        <w:t>enero</w:t>
      </w:r>
      <w:r>
        <w:rPr>
          <w:spacing w:val="-5"/>
        </w:rPr>
        <w:t> </w:t>
      </w:r>
      <w:r>
        <w:rPr/>
        <w:t>de</w:t>
      </w:r>
      <w:r>
        <w:rPr>
          <w:spacing w:val="-5"/>
        </w:rPr>
        <w:t> </w:t>
      </w:r>
      <w:r>
        <w:rPr>
          <w:spacing w:val="-2"/>
        </w:rPr>
        <w:t>2014.</w:t>
      </w:r>
    </w:p>
    <w:p>
      <w:pPr>
        <w:pStyle w:val="BodyText"/>
        <w:spacing w:before="1"/>
      </w:pPr>
    </w:p>
    <w:p>
      <w:pPr>
        <w:pStyle w:val="BodyText"/>
        <w:spacing w:line="242" w:lineRule="auto"/>
        <w:ind w:left="1" w:right="140" w:firstLine="288"/>
        <w:jc w:val="both"/>
      </w:pPr>
      <w:r>
        <w:rPr>
          <w:rFonts w:ascii="Arial" w:hAnsi="Arial"/>
          <w:b/>
        </w:rPr>
        <w:t>Segundo.- </w:t>
      </w:r>
      <w:r>
        <w:rPr/>
        <w:t>Para</w:t>
      </w:r>
      <w:r>
        <w:rPr>
          <w:spacing w:val="-1"/>
        </w:rPr>
        <w:t> </w:t>
      </w:r>
      <w:r>
        <w:rPr/>
        <w:t>efectos de lo</w:t>
      </w:r>
      <w:r>
        <w:rPr>
          <w:spacing w:val="-1"/>
        </w:rPr>
        <w:t> </w:t>
      </w:r>
      <w:r>
        <w:rPr/>
        <w:t>dispuesto</w:t>
      </w:r>
      <w:r>
        <w:rPr>
          <w:spacing w:val="-1"/>
        </w:rPr>
        <w:t> </w:t>
      </w:r>
      <w:r>
        <w:rPr/>
        <w:t>en</w:t>
      </w:r>
      <w:r>
        <w:rPr>
          <w:spacing w:val="-1"/>
        </w:rPr>
        <w:t> </w:t>
      </w:r>
      <w:r>
        <w:rPr/>
        <w:t>los artículos 26 y</w:t>
      </w:r>
      <w:r>
        <w:rPr>
          <w:spacing w:val="-4"/>
        </w:rPr>
        <w:t> </w:t>
      </w:r>
      <w:r>
        <w:rPr/>
        <w:t>26-A</w:t>
      </w:r>
      <w:r>
        <w:rPr>
          <w:spacing w:val="-1"/>
        </w:rPr>
        <w:t> </w:t>
      </w:r>
      <w:r>
        <w:rPr/>
        <w:t>de</w:t>
      </w:r>
      <w:r>
        <w:rPr>
          <w:spacing w:val="-1"/>
        </w:rPr>
        <w:t> </w:t>
      </w:r>
      <w:r>
        <w:rPr/>
        <w:t>la</w:t>
      </w:r>
      <w:r>
        <w:rPr>
          <w:spacing w:val="-1"/>
        </w:rPr>
        <w:t> </w:t>
      </w:r>
      <w:r>
        <w:rPr/>
        <w:t>Ley</w:t>
      </w:r>
      <w:r>
        <w:rPr>
          <w:spacing w:val="-4"/>
        </w:rPr>
        <w:t> </w:t>
      </w:r>
      <w:r>
        <w:rPr/>
        <w:t>de</w:t>
      </w:r>
      <w:r>
        <w:rPr>
          <w:spacing w:val="-1"/>
        </w:rPr>
        <w:t> </w:t>
      </w:r>
      <w:r>
        <w:rPr/>
        <w:t>Coordinación</w:t>
      </w:r>
      <w:r>
        <w:rPr>
          <w:spacing w:val="-2"/>
        </w:rPr>
        <w:t> </w:t>
      </w:r>
      <w:r>
        <w:rPr/>
        <w:t>Fiscal, la Secretaría de Educación Pública, en un plazo no mayor a un año, contado a partir de la entrada en vigor de este Decreto, deberá:</w:t>
      </w:r>
    </w:p>
    <w:p>
      <w:pPr>
        <w:pStyle w:val="ListParagraph"/>
        <w:numPr>
          <w:ilvl w:val="0"/>
          <w:numId w:val="21"/>
        </w:numPr>
        <w:tabs>
          <w:tab w:pos="1009" w:val="left" w:leader="none"/>
        </w:tabs>
        <w:spacing w:line="240" w:lineRule="auto" w:before="222" w:after="0"/>
        <w:ind w:left="1009" w:right="148" w:hanging="720"/>
        <w:jc w:val="both"/>
        <w:rPr>
          <w:sz w:val="20"/>
        </w:rPr>
      </w:pPr>
      <w:r>
        <w:rPr>
          <w:sz w:val="20"/>
        </w:rPr>
        <w:t>Conciliar con las autoridades educativas de los Estados, los registros de las plazas que les fueron transferidas en el marco del Acuerdo Nacional para la Modernización de la Educación Básica, publicado en el Diario Oficial de la Federación el 19 de mayo de 1992 y los convenios que de conformidad con el mismo fueron formalizados con los Estados, así como las plazas correspondientes a años posteriores que sean reconocidas, previa validación de la Secretaría de Hacienda y Crédito Público. Dicho registro incluirá los conceptos y montos de las remuneraciones correspondientes, y podrá incluir al personal docente que no es de jornada, de acuerdo a la asignación de horas correspondiente.</w:t>
      </w:r>
    </w:p>
    <w:p>
      <w:pPr>
        <w:pStyle w:val="BodyText"/>
        <w:spacing w:before="4"/>
      </w:pPr>
    </w:p>
    <w:p>
      <w:pPr>
        <w:pStyle w:val="BodyText"/>
        <w:spacing w:before="1"/>
        <w:ind w:left="1009" w:right="138"/>
        <w:jc w:val="both"/>
      </w:pPr>
      <w:r>
        <w:rPr/>
        <w:t>Para lo anterior, la información que servirá de base para la conciliación a que se refiere esta fracción, será aquélla que corresponda al inicio del ciclo escolar 2013-2014. Asimismo, la Secretaría de Educación Pública y la Secretaría de Hacienda y Crédito Público, darán a conocer a las autoridades educativas de los Estados el procedimiento y los plazos para llevar</w:t>
      </w:r>
      <w:r>
        <w:rPr>
          <w:spacing w:val="40"/>
        </w:rPr>
        <w:t> </w:t>
      </w:r>
      <w:r>
        <w:rPr/>
        <w:t>a cabo el proceso de conciliación de los registros.</w:t>
      </w:r>
    </w:p>
    <w:p>
      <w:pPr>
        <w:pStyle w:val="BodyText"/>
      </w:pPr>
    </w:p>
    <w:p>
      <w:pPr>
        <w:pStyle w:val="BodyText"/>
        <w:ind w:left="1009" w:right="142"/>
        <w:jc w:val="both"/>
      </w:pPr>
      <w:r>
        <w:rPr/>
        <w:t>La Secretaría de Hacienda y Crédito Público, la Secretaría de Educación Pública y las autoridades educativas de las entidades federativas establecerán mecanismos de transparencia para que el trabajador pueda verificar la información correspondiente a su </w:t>
      </w:r>
      <w:r>
        <w:rPr>
          <w:spacing w:val="-2"/>
        </w:rPr>
        <w:t>nómina;</w:t>
      </w:r>
    </w:p>
    <w:p>
      <w:pPr>
        <w:pStyle w:val="ListParagraph"/>
        <w:numPr>
          <w:ilvl w:val="0"/>
          <w:numId w:val="21"/>
        </w:numPr>
        <w:tabs>
          <w:tab w:pos="1006" w:val="left" w:leader="none"/>
          <w:tab w:pos="1009" w:val="left" w:leader="none"/>
        </w:tabs>
        <w:spacing w:line="240" w:lineRule="auto" w:before="227" w:after="0"/>
        <w:ind w:left="1009" w:right="144" w:hanging="720"/>
        <w:jc w:val="both"/>
        <w:rPr>
          <w:sz w:val="20"/>
        </w:rPr>
      </w:pPr>
      <w:r>
        <w:rPr>
          <w:sz w:val="20"/>
        </w:rPr>
        <w:t>Registrar las plazas a que se refiere la fracción anterior en el módulo correspondiente a los servicios personales del Sistema de Información y Gestión Educativa a que se refiere el artículo 12, fracción X, de la Ley General de Educación, y</w:t>
      </w:r>
    </w:p>
    <w:p>
      <w:pPr>
        <w:pStyle w:val="ListParagraph"/>
        <w:spacing w:after="0" w:line="240" w:lineRule="auto"/>
        <w:jc w:val="both"/>
        <w:rPr>
          <w:sz w:val="20"/>
        </w:rPr>
        <w:sectPr>
          <w:pgSz w:w="12250" w:h="15850"/>
          <w:pgMar w:header="724" w:footer="712" w:top="1880" w:bottom="900" w:left="1417" w:right="1275"/>
        </w:sectPr>
      </w:pPr>
    </w:p>
    <w:p>
      <w:pPr>
        <w:pStyle w:val="BodyText"/>
      </w:pPr>
    </w:p>
    <w:p>
      <w:pPr>
        <w:pStyle w:val="BodyText"/>
        <w:spacing w:before="65"/>
      </w:pPr>
    </w:p>
    <w:p>
      <w:pPr>
        <w:pStyle w:val="ListParagraph"/>
        <w:numPr>
          <w:ilvl w:val="0"/>
          <w:numId w:val="21"/>
        </w:numPr>
        <w:tabs>
          <w:tab w:pos="1005" w:val="left" w:leader="none"/>
          <w:tab w:pos="1009" w:val="left" w:leader="none"/>
        </w:tabs>
        <w:spacing w:line="240" w:lineRule="auto" w:before="0" w:after="0"/>
        <w:ind w:left="1009" w:right="139" w:hanging="720"/>
        <w:jc w:val="both"/>
        <w:rPr>
          <w:sz w:val="20"/>
        </w:rPr>
      </w:pPr>
      <w:r>
        <w:rPr>
          <w:sz w:val="20"/>
        </w:rPr>
        <w:t>Integrar la nómina del</w:t>
      </w:r>
      <w:r>
        <w:rPr>
          <w:spacing w:val="-2"/>
          <w:sz w:val="20"/>
        </w:rPr>
        <w:t> </w:t>
      </w:r>
      <w:r>
        <w:rPr>
          <w:sz w:val="20"/>
        </w:rPr>
        <w:t>personal</w:t>
      </w:r>
      <w:r>
        <w:rPr>
          <w:spacing w:val="-2"/>
          <w:sz w:val="20"/>
        </w:rPr>
        <w:t> </w:t>
      </w:r>
      <w:r>
        <w:rPr>
          <w:sz w:val="20"/>
        </w:rPr>
        <w:t>educativo</w:t>
      </w:r>
      <w:r>
        <w:rPr>
          <w:spacing w:val="-1"/>
          <w:sz w:val="20"/>
        </w:rPr>
        <w:t> </w:t>
      </w:r>
      <w:r>
        <w:rPr>
          <w:sz w:val="20"/>
        </w:rPr>
        <w:t>que ocupe las plazas previamente</w:t>
      </w:r>
      <w:r>
        <w:rPr>
          <w:spacing w:val="-1"/>
          <w:sz w:val="20"/>
        </w:rPr>
        <w:t> </w:t>
      </w:r>
      <w:r>
        <w:rPr>
          <w:sz w:val="20"/>
        </w:rPr>
        <w:t>conciliadas a</w:t>
      </w:r>
      <w:r>
        <w:rPr>
          <w:spacing w:val="-1"/>
          <w:sz w:val="20"/>
        </w:rPr>
        <w:t> </w:t>
      </w:r>
      <w:r>
        <w:rPr>
          <w:sz w:val="20"/>
        </w:rPr>
        <w:t>que se refiere este artículo, incluyendo los sueldos y prestaciones que correspondan en cada Estado, con el objeto de realizar los pagos correspondientes en términos del artículo 26-A de la Ley de Coordinación Fiscal.</w:t>
      </w:r>
    </w:p>
    <w:p>
      <w:pPr>
        <w:pStyle w:val="BodyText"/>
      </w:pPr>
    </w:p>
    <w:p>
      <w:pPr>
        <w:pStyle w:val="BodyText"/>
        <w:spacing w:line="242" w:lineRule="auto"/>
        <w:ind w:left="1" w:right="141" w:firstLine="288"/>
        <w:jc w:val="both"/>
      </w:pPr>
      <w:r>
        <w:rPr>
          <w:rFonts w:ascii="Arial" w:hAnsi="Arial"/>
          <w:b/>
        </w:rPr>
        <w:t>Tercero.- </w:t>
      </w:r>
      <w:r>
        <w:rPr/>
        <w:t>El Fondo de Aportaciones para la Nómina Educativa entrará en vigor en el ejercicio fiscal </w:t>
      </w:r>
      <w:r>
        <w:rPr>
          <w:spacing w:val="-2"/>
        </w:rPr>
        <w:t>2015.</w:t>
      </w:r>
    </w:p>
    <w:p>
      <w:pPr>
        <w:pStyle w:val="BodyText"/>
        <w:spacing w:before="227"/>
        <w:ind w:left="1" w:right="147" w:firstLine="288"/>
        <w:jc w:val="both"/>
      </w:pPr>
      <w:r>
        <w:rPr/>
        <w:t>En tanto entra en vigor el Fondo de Aportaciones para la Nómina Educativa a que se refiere este artículo, seguirán aplicándose las disposiciones correspondientes a la distribución del Fondo de Aportaciones para la Educación Básica y Normal vigentes hasta antes de la entrada en vigor de este Decreto, con base en el presupuesto aprobado para el ejercicio fiscal 2014.</w:t>
      </w:r>
    </w:p>
    <w:p>
      <w:pPr>
        <w:pStyle w:val="BodyText"/>
        <w:spacing w:before="228"/>
        <w:ind w:left="1" w:right="144" w:firstLine="288"/>
        <w:jc w:val="both"/>
      </w:pPr>
      <w:r>
        <w:rPr>
          <w:rFonts w:ascii="Arial" w:hAnsi="Arial"/>
          <w:b/>
        </w:rPr>
        <w:t>Cuarto.- </w:t>
      </w:r>
      <w:r>
        <w:rPr/>
        <w:t>Una vez concluida la conciliación a que se refiere el artículo anterior, aquellos estados en donde los recursos por concepto del Fondo de Aportaciones para la Educación Básica y Normal, transferidos con anterioridad a la conciliación, resulten mayores al valor determinado del Fondo de Aportaciones para la Nómina Educativa y Gasto Operativo, serán compensados por dicha diferencia a través del Fondo de Compensación, cuyos recursos serán destinados exclusivamente para cumplir con las atribuciones a las que se refieren los artículos 13 y 16 de la Ley General de Educación.</w:t>
      </w:r>
    </w:p>
    <w:p>
      <w:pPr>
        <w:pStyle w:val="BodyText"/>
        <w:spacing w:before="2"/>
      </w:pPr>
    </w:p>
    <w:p>
      <w:pPr>
        <w:pStyle w:val="BodyText"/>
        <w:spacing w:before="1"/>
        <w:ind w:left="1" w:right="147" w:firstLine="288"/>
        <w:jc w:val="both"/>
      </w:pPr>
      <w:r>
        <w:rPr/>
        <w:t>El Fondo de Compensación será constituido en el ejercicio fiscal 2015 y se actualizará de manera anual, conforme a la inflación reportada por el Instituto Nacional de Estadística y Geografía mediante el Índice Nacional de Precios al Consumidor.</w:t>
      </w:r>
    </w:p>
    <w:p>
      <w:pPr>
        <w:pStyle w:val="BodyText"/>
        <w:spacing w:before="229"/>
        <w:ind w:left="1" w:right="144" w:firstLine="288"/>
        <w:jc w:val="both"/>
      </w:pPr>
      <w:r>
        <w:rPr>
          <w:rFonts w:ascii="Arial" w:hAnsi="Arial"/>
          <w:b/>
        </w:rPr>
        <w:t>Quinto.- </w:t>
      </w:r>
      <w:r>
        <w:rPr/>
        <w:t>Las autoridades competentes respetarán los derechos de los trabajadores de la educación</w:t>
      </w:r>
      <w:r>
        <w:rPr>
          <w:spacing w:val="40"/>
        </w:rPr>
        <w:t> </w:t>
      </w:r>
      <w:r>
        <w:rPr/>
        <w:t>en términos de las disposiciones jurídicas aplicables y las relaciones laborales correspondientes se mantendrán en los términos vigentes hasta la entrada en vigor del presente Decreto.</w:t>
      </w:r>
    </w:p>
    <w:p>
      <w:pPr>
        <w:pStyle w:val="BodyText"/>
        <w:spacing w:before="230"/>
        <w:ind w:left="1" w:right="143" w:firstLine="288"/>
        <w:jc w:val="both"/>
      </w:pPr>
      <w:r>
        <w:rPr>
          <w:rFonts w:ascii="Arial" w:hAnsi="Arial"/>
          <w:b/>
        </w:rPr>
        <w:t>Sexto.- </w:t>
      </w:r>
      <w:r>
        <w:rPr/>
        <w:t>A más tardar a los 45 días naturales siguientes a la entrada en vigor del presente Decreto, la Secretaría de Desarrollo Social, previa opinión de la Secretaría de Hacienda y Crédito Público, deberá publicar en el Diario Oficial de la Federación los Lineamientos del Fondo de Aportaciones para la Infraestructura Social, a que hace referencia el artículo 33 del presente Decreto.</w:t>
      </w:r>
    </w:p>
    <w:p>
      <w:pPr>
        <w:pStyle w:val="BodyText"/>
        <w:spacing w:before="229"/>
        <w:ind w:left="1" w:right="141" w:firstLine="288"/>
        <w:jc w:val="both"/>
      </w:pPr>
      <w:r>
        <w:rPr>
          <w:rFonts w:ascii="Arial" w:hAnsi="Arial"/>
          <w:b/>
        </w:rPr>
        <w:t>Séptimo.- </w:t>
      </w:r>
      <w:r>
        <w:rPr/>
        <w:t>Las retenciones y pagos que se realicen con cargo a los recursos del Fondo de Aportaciones para el Fortalecimiento de los Municipios y Demarcaciones Territoriales del Distrito Federal por adeudos que correspondan al municipio, demarcación territorial, sus organismos operadores de agua y, en su caso, sus organismos auxiliares, a que se refiere el artículo 51 de la Ley de Coordinación Fiscal, relativos a los derechos y aprovechamientos por concepto de agua y descargas de aguas residuales, podrán</w:t>
      </w:r>
      <w:r>
        <w:rPr>
          <w:spacing w:val="-1"/>
        </w:rPr>
        <w:t> </w:t>
      </w:r>
      <w:r>
        <w:rPr/>
        <w:t>efectuarse</w:t>
      </w:r>
      <w:r>
        <w:rPr>
          <w:spacing w:val="-1"/>
        </w:rPr>
        <w:t> </w:t>
      </w:r>
      <w:r>
        <w:rPr/>
        <w:t>de</w:t>
      </w:r>
      <w:r>
        <w:rPr>
          <w:spacing w:val="-2"/>
        </w:rPr>
        <w:t> </w:t>
      </w:r>
      <w:r>
        <w:rPr/>
        <w:t>manera</w:t>
      </w:r>
      <w:r>
        <w:rPr>
          <w:spacing w:val="-1"/>
        </w:rPr>
        <w:t> </w:t>
      </w:r>
      <w:r>
        <w:rPr/>
        <w:t>gradual,</w:t>
      </w:r>
      <w:r>
        <w:rPr>
          <w:spacing w:val="-1"/>
        </w:rPr>
        <w:t> </w:t>
      </w:r>
      <w:r>
        <w:rPr/>
        <w:t>con</w:t>
      </w:r>
      <w:r>
        <w:rPr>
          <w:spacing w:val="-2"/>
        </w:rPr>
        <w:t> </w:t>
      </w:r>
      <w:r>
        <w:rPr/>
        <w:t>base</w:t>
      </w:r>
      <w:r>
        <w:rPr>
          <w:spacing w:val="-1"/>
        </w:rPr>
        <w:t> </w:t>
      </w:r>
      <w:r>
        <w:rPr/>
        <w:t>en,</w:t>
      </w:r>
      <w:r>
        <w:rPr>
          <w:spacing w:val="-1"/>
        </w:rPr>
        <w:t> </w:t>
      </w:r>
      <w:r>
        <w:rPr/>
        <w:t>al menos,</w:t>
      </w:r>
      <w:r>
        <w:rPr>
          <w:spacing w:val="-1"/>
        </w:rPr>
        <w:t> </w:t>
      </w:r>
      <w:r>
        <w:rPr/>
        <w:t>los siguientes porcentajes aplicables sobre el total de los recursos que correspondan a cada municipio o demarcación territorial por concepto del citado Fondo, considerando el 100% de la facturación de los conceptos referidos:</w:t>
      </w:r>
    </w:p>
    <w:p>
      <w:pPr>
        <w:pStyle w:val="BodyText"/>
        <w:spacing w:before="5"/>
      </w:pPr>
    </w:p>
    <w:tbl>
      <w:tblPr>
        <w:tblW w:w="0" w:type="auto"/>
        <w:jc w:val="left"/>
        <w:tblInd w:w="17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79"/>
        <w:gridCol w:w="2424"/>
      </w:tblGrid>
      <w:tr>
        <w:trPr>
          <w:trHeight w:val="229" w:hRule="atLeast"/>
        </w:trPr>
        <w:tc>
          <w:tcPr>
            <w:tcW w:w="2679" w:type="dxa"/>
          </w:tcPr>
          <w:p>
            <w:pPr>
              <w:pStyle w:val="TableParagraph"/>
              <w:rPr>
                <w:sz w:val="20"/>
              </w:rPr>
            </w:pPr>
            <w:r>
              <w:rPr>
                <w:sz w:val="20"/>
              </w:rPr>
              <w:t>Ejercicio</w:t>
            </w:r>
            <w:r>
              <w:rPr>
                <w:spacing w:val="-11"/>
                <w:sz w:val="20"/>
              </w:rPr>
              <w:t> </w:t>
            </w:r>
            <w:r>
              <w:rPr>
                <w:spacing w:val="-2"/>
                <w:sz w:val="20"/>
              </w:rPr>
              <w:t>Fiscal</w:t>
            </w:r>
          </w:p>
        </w:tc>
        <w:tc>
          <w:tcPr>
            <w:tcW w:w="2424" w:type="dxa"/>
          </w:tcPr>
          <w:p>
            <w:pPr>
              <w:pStyle w:val="TableParagraph"/>
              <w:ind w:left="9" w:right="1"/>
              <w:rPr>
                <w:sz w:val="20"/>
              </w:rPr>
            </w:pPr>
            <w:r>
              <w:rPr>
                <w:sz w:val="20"/>
              </w:rPr>
              <w:t>Porcentaje</w:t>
            </w:r>
            <w:r>
              <w:rPr>
                <w:spacing w:val="-8"/>
                <w:sz w:val="20"/>
              </w:rPr>
              <w:t> </w:t>
            </w:r>
            <w:r>
              <w:rPr>
                <w:sz w:val="20"/>
              </w:rPr>
              <w:t>de</w:t>
            </w:r>
            <w:r>
              <w:rPr>
                <w:spacing w:val="-6"/>
                <w:sz w:val="20"/>
              </w:rPr>
              <w:t> </w:t>
            </w:r>
            <w:r>
              <w:rPr>
                <w:spacing w:val="-2"/>
                <w:sz w:val="20"/>
              </w:rPr>
              <w:t>Retención</w:t>
            </w:r>
          </w:p>
        </w:tc>
      </w:tr>
      <w:tr>
        <w:trPr>
          <w:trHeight w:val="229" w:hRule="atLeast"/>
        </w:trPr>
        <w:tc>
          <w:tcPr>
            <w:tcW w:w="2679" w:type="dxa"/>
          </w:tcPr>
          <w:p>
            <w:pPr>
              <w:pStyle w:val="TableParagraph"/>
              <w:ind w:right="3"/>
              <w:rPr>
                <w:sz w:val="20"/>
              </w:rPr>
            </w:pPr>
            <w:r>
              <w:rPr>
                <w:spacing w:val="-4"/>
                <w:sz w:val="20"/>
              </w:rPr>
              <w:t>2014</w:t>
            </w:r>
          </w:p>
        </w:tc>
        <w:tc>
          <w:tcPr>
            <w:tcW w:w="2424" w:type="dxa"/>
          </w:tcPr>
          <w:p>
            <w:pPr>
              <w:pStyle w:val="TableParagraph"/>
              <w:ind w:left="9"/>
              <w:rPr>
                <w:sz w:val="20"/>
              </w:rPr>
            </w:pPr>
            <w:r>
              <w:rPr>
                <w:spacing w:val="-5"/>
                <w:sz w:val="20"/>
              </w:rPr>
              <w:t>50%</w:t>
            </w:r>
          </w:p>
        </w:tc>
      </w:tr>
      <w:tr>
        <w:trPr>
          <w:trHeight w:val="229" w:hRule="atLeast"/>
        </w:trPr>
        <w:tc>
          <w:tcPr>
            <w:tcW w:w="2679" w:type="dxa"/>
          </w:tcPr>
          <w:p>
            <w:pPr>
              <w:pStyle w:val="TableParagraph"/>
              <w:ind w:right="3"/>
              <w:rPr>
                <w:sz w:val="20"/>
              </w:rPr>
            </w:pPr>
            <w:r>
              <w:rPr>
                <w:spacing w:val="-4"/>
                <w:sz w:val="20"/>
              </w:rPr>
              <w:t>2015</w:t>
            </w:r>
          </w:p>
        </w:tc>
        <w:tc>
          <w:tcPr>
            <w:tcW w:w="2424" w:type="dxa"/>
          </w:tcPr>
          <w:p>
            <w:pPr>
              <w:pStyle w:val="TableParagraph"/>
              <w:ind w:left="9"/>
              <w:rPr>
                <w:sz w:val="20"/>
              </w:rPr>
            </w:pPr>
            <w:r>
              <w:rPr>
                <w:spacing w:val="-5"/>
                <w:sz w:val="20"/>
              </w:rPr>
              <w:t>60%</w:t>
            </w:r>
          </w:p>
        </w:tc>
      </w:tr>
      <w:tr>
        <w:trPr>
          <w:trHeight w:val="229" w:hRule="atLeast"/>
        </w:trPr>
        <w:tc>
          <w:tcPr>
            <w:tcW w:w="2679" w:type="dxa"/>
          </w:tcPr>
          <w:p>
            <w:pPr>
              <w:pStyle w:val="TableParagraph"/>
              <w:ind w:right="3"/>
              <w:rPr>
                <w:sz w:val="20"/>
              </w:rPr>
            </w:pPr>
            <w:r>
              <w:rPr>
                <w:spacing w:val="-4"/>
                <w:sz w:val="20"/>
              </w:rPr>
              <w:t>2016</w:t>
            </w:r>
          </w:p>
        </w:tc>
        <w:tc>
          <w:tcPr>
            <w:tcW w:w="2424" w:type="dxa"/>
          </w:tcPr>
          <w:p>
            <w:pPr>
              <w:pStyle w:val="TableParagraph"/>
              <w:ind w:left="9"/>
              <w:rPr>
                <w:sz w:val="20"/>
              </w:rPr>
            </w:pPr>
            <w:r>
              <w:rPr>
                <w:spacing w:val="-5"/>
                <w:sz w:val="20"/>
              </w:rPr>
              <w:t>75%</w:t>
            </w:r>
          </w:p>
        </w:tc>
      </w:tr>
      <w:tr>
        <w:trPr>
          <w:trHeight w:val="229" w:hRule="atLeast"/>
        </w:trPr>
        <w:tc>
          <w:tcPr>
            <w:tcW w:w="2679" w:type="dxa"/>
          </w:tcPr>
          <w:p>
            <w:pPr>
              <w:pStyle w:val="TableParagraph"/>
              <w:ind w:right="3"/>
              <w:rPr>
                <w:sz w:val="20"/>
              </w:rPr>
            </w:pPr>
            <w:r>
              <w:rPr>
                <w:spacing w:val="-4"/>
                <w:sz w:val="20"/>
              </w:rPr>
              <w:t>2017</w:t>
            </w:r>
          </w:p>
        </w:tc>
        <w:tc>
          <w:tcPr>
            <w:tcW w:w="2424" w:type="dxa"/>
          </w:tcPr>
          <w:p>
            <w:pPr>
              <w:pStyle w:val="TableParagraph"/>
              <w:ind w:left="9"/>
              <w:rPr>
                <w:sz w:val="20"/>
              </w:rPr>
            </w:pPr>
            <w:r>
              <w:rPr>
                <w:spacing w:val="-5"/>
                <w:sz w:val="20"/>
              </w:rPr>
              <w:t>85%</w:t>
            </w:r>
          </w:p>
        </w:tc>
      </w:tr>
      <w:tr>
        <w:trPr>
          <w:trHeight w:val="229" w:hRule="atLeast"/>
        </w:trPr>
        <w:tc>
          <w:tcPr>
            <w:tcW w:w="2679" w:type="dxa"/>
          </w:tcPr>
          <w:p>
            <w:pPr>
              <w:pStyle w:val="TableParagraph"/>
              <w:ind w:right="3"/>
              <w:rPr>
                <w:sz w:val="20"/>
              </w:rPr>
            </w:pPr>
            <w:r>
              <w:rPr>
                <w:spacing w:val="-4"/>
                <w:sz w:val="20"/>
              </w:rPr>
              <w:t>2018</w:t>
            </w:r>
          </w:p>
        </w:tc>
        <w:tc>
          <w:tcPr>
            <w:tcW w:w="2424" w:type="dxa"/>
          </w:tcPr>
          <w:p>
            <w:pPr>
              <w:pStyle w:val="TableParagraph"/>
              <w:ind w:left="9"/>
              <w:rPr>
                <w:sz w:val="20"/>
              </w:rPr>
            </w:pPr>
            <w:r>
              <w:rPr>
                <w:spacing w:val="-4"/>
                <w:sz w:val="20"/>
              </w:rPr>
              <w:t>100%</w:t>
            </w:r>
          </w:p>
        </w:tc>
      </w:tr>
    </w:tbl>
    <w:p>
      <w:pPr>
        <w:pStyle w:val="BodyText"/>
        <w:spacing w:before="4"/>
      </w:pPr>
    </w:p>
    <w:p>
      <w:pPr>
        <w:pStyle w:val="BodyText"/>
        <w:ind w:left="1" w:right="147" w:firstLine="288"/>
        <w:jc w:val="both"/>
      </w:pPr>
      <w:r>
        <w:rPr/>
        <w:t>Lo</w:t>
      </w:r>
      <w:r>
        <w:rPr>
          <w:spacing w:val="-3"/>
        </w:rPr>
        <w:t> </w:t>
      </w:r>
      <w:r>
        <w:rPr/>
        <w:t>anterior</w:t>
      </w:r>
      <w:r>
        <w:rPr>
          <w:spacing w:val="-1"/>
        </w:rPr>
        <w:t> </w:t>
      </w:r>
      <w:r>
        <w:rPr/>
        <w:t>podrá</w:t>
      </w:r>
      <w:r>
        <w:rPr>
          <w:spacing w:val="-1"/>
        </w:rPr>
        <w:t> </w:t>
      </w:r>
      <w:r>
        <w:rPr/>
        <w:t>ser</w:t>
      </w:r>
      <w:r>
        <w:rPr>
          <w:spacing w:val="-4"/>
        </w:rPr>
        <w:t> </w:t>
      </w:r>
      <w:r>
        <w:rPr/>
        <w:t>aplicable</w:t>
      </w:r>
      <w:r>
        <w:rPr>
          <w:spacing w:val="-2"/>
        </w:rPr>
        <w:t> </w:t>
      </w:r>
      <w:r>
        <w:rPr/>
        <w:t>sin</w:t>
      </w:r>
      <w:r>
        <w:rPr>
          <w:spacing w:val="-2"/>
        </w:rPr>
        <w:t> </w:t>
      </w:r>
      <w:r>
        <w:rPr/>
        <w:t>perjuicio</w:t>
      </w:r>
      <w:r>
        <w:rPr>
          <w:spacing w:val="-2"/>
        </w:rPr>
        <w:t> </w:t>
      </w:r>
      <w:r>
        <w:rPr/>
        <w:t>de</w:t>
      </w:r>
      <w:r>
        <w:rPr>
          <w:spacing w:val="-2"/>
        </w:rPr>
        <w:t> </w:t>
      </w:r>
      <w:r>
        <w:rPr/>
        <w:t>lo</w:t>
      </w:r>
      <w:r>
        <w:rPr>
          <w:spacing w:val="-4"/>
        </w:rPr>
        <w:t> </w:t>
      </w:r>
      <w:r>
        <w:rPr/>
        <w:t>establecido</w:t>
      </w:r>
      <w:r>
        <w:rPr>
          <w:spacing w:val="-2"/>
        </w:rPr>
        <w:t> </w:t>
      </w:r>
      <w:r>
        <w:rPr/>
        <w:t>en</w:t>
      </w:r>
      <w:r>
        <w:rPr>
          <w:spacing w:val="-3"/>
        </w:rPr>
        <w:t> </w:t>
      </w:r>
      <w:r>
        <w:rPr/>
        <w:t>las</w:t>
      </w:r>
      <w:r>
        <w:rPr>
          <w:spacing w:val="-1"/>
        </w:rPr>
        <w:t> </w:t>
      </w:r>
      <w:r>
        <w:rPr/>
        <w:t>legislaciones</w:t>
      </w:r>
      <w:r>
        <w:rPr>
          <w:spacing w:val="-1"/>
        </w:rPr>
        <w:t> </w:t>
      </w:r>
      <w:r>
        <w:rPr/>
        <w:t>locales</w:t>
      </w:r>
      <w:r>
        <w:rPr>
          <w:spacing w:val="-1"/>
        </w:rPr>
        <w:t> </w:t>
      </w:r>
      <w:r>
        <w:rPr/>
        <w:t>en</w:t>
      </w:r>
      <w:r>
        <w:rPr>
          <w:spacing w:val="-2"/>
        </w:rPr>
        <w:t> </w:t>
      </w:r>
      <w:r>
        <w:rPr/>
        <w:t>la</w:t>
      </w:r>
      <w:r>
        <w:rPr>
          <w:spacing w:val="-2"/>
        </w:rPr>
        <w:t> </w:t>
      </w:r>
      <w:r>
        <w:rPr/>
        <w:t>materia, vigentes en la fecha de publicación de esta Ley.</w:t>
      </w:r>
    </w:p>
    <w:p>
      <w:pPr>
        <w:pStyle w:val="BodyText"/>
        <w:spacing w:after="0"/>
        <w:jc w:val="both"/>
        <w:sectPr>
          <w:pgSz w:w="12250" w:h="15850"/>
          <w:pgMar w:header="724" w:footer="712" w:top="1880" w:bottom="900" w:left="1417" w:right="1275"/>
        </w:sectPr>
      </w:pPr>
    </w:p>
    <w:p>
      <w:pPr>
        <w:pStyle w:val="BodyText"/>
      </w:pPr>
    </w:p>
    <w:p>
      <w:pPr>
        <w:pStyle w:val="BodyText"/>
        <w:spacing w:before="65"/>
      </w:pPr>
    </w:p>
    <w:p>
      <w:pPr>
        <w:pStyle w:val="BodyText"/>
        <w:ind w:left="1" w:right="141" w:firstLine="288"/>
        <w:jc w:val="both"/>
      </w:pPr>
      <w:r>
        <w:rPr>
          <w:rFonts w:ascii="Arial" w:hAnsi="Arial"/>
          <w:b/>
        </w:rPr>
        <w:t>Octavo.- </w:t>
      </w:r>
      <w:r>
        <w:rPr/>
        <w:t>El coeficiente CP</w:t>
      </w:r>
      <w:r>
        <w:rPr>
          <w:position w:val="-3"/>
        </w:rPr>
        <w:t>i,t </w:t>
      </w:r>
      <w:r>
        <w:rPr/>
        <w:t>a que se refiere la fórmula establecida en el artículo 2-A de la Ley de Coordinación Fiscal será aplicable a partir del ejercicio fiscal</w:t>
      </w:r>
      <w:r>
        <w:rPr>
          <w:spacing w:val="-1"/>
        </w:rPr>
        <w:t> </w:t>
      </w:r>
      <w:r>
        <w:rPr/>
        <w:t>de 2015. La información considerada para el cálculo del mismo será aquélla que las entidades federativas proporcionen a la Secretaría de Hacienda y Crédito Público, a más tardar el 15 de agosto de 2014.</w:t>
      </w:r>
    </w:p>
    <w:p>
      <w:pPr>
        <w:pStyle w:val="BodyText"/>
        <w:spacing w:before="1"/>
      </w:pPr>
    </w:p>
    <w:p>
      <w:pPr>
        <w:pStyle w:val="BodyText"/>
        <w:ind w:left="1" w:right="140" w:firstLine="288"/>
        <w:jc w:val="both"/>
      </w:pPr>
      <w:r>
        <w:rPr/>
        <w:t>El Distrito Federal queda considerado para efectos del cálculo del coeficiente CP</w:t>
      </w:r>
      <w:r>
        <w:rPr>
          <w:position w:val="-3"/>
        </w:rPr>
        <w:t>i,t</w:t>
      </w:r>
      <w:r>
        <w:rPr/>
        <w:t>. En el ejercicio fiscal</w:t>
      </w:r>
      <w:r>
        <w:rPr>
          <w:spacing w:val="-2"/>
        </w:rPr>
        <w:t> </w:t>
      </w:r>
      <w:r>
        <w:rPr/>
        <w:t>2014,</w:t>
      </w:r>
      <w:r>
        <w:rPr>
          <w:spacing w:val="-1"/>
        </w:rPr>
        <w:t> </w:t>
      </w:r>
      <w:r>
        <w:rPr/>
        <w:t>la</w:t>
      </w:r>
      <w:r>
        <w:rPr>
          <w:spacing w:val="-1"/>
        </w:rPr>
        <w:t> </w:t>
      </w:r>
      <w:r>
        <w:rPr/>
        <w:t>totalidad</w:t>
      </w:r>
      <w:r>
        <w:rPr>
          <w:spacing w:val="-1"/>
        </w:rPr>
        <w:t> </w:t>
      </w:r>
      <w:r>
        <w:rPr/>
        <w:t>del</w:t>
      </w:r>
      <w:r>
        <w:rPr>
          <w:spacing w:val="-2"/>
        </w:rPr>
        <w:t> </w:t>
      </w:r>
      <w:r>
        <w:rPr/>
        <w:t>excedente</w:t>
      </w:r>
      <w:r>
        <w:rPr>
          <w:spacing w:val="-1"/>
        </w:rPr>
        <w:t> </w:t>
      </w:r>
      <w:r>
        <w:rPr/>
        <w:t>a</w:t>
      </w:r>
      <w:r>
        <w:rPr>
          <w:spacing w:val="-1"/>
        </w:rPr>
        <w:t> </w:t>
      </w:r>
      <w:r>
        <w:rPr/>
        <w:t>que</w:t>
      </w:r>
      <w:r>
        <w:rPr>
          <w:spacing w:val="-1"/>
        </w:rPr>
        <w:t> </w:t>
      </w:r>
      <w:r>
        <w:rPr/>
        <w:t>se</w:t>
      </w:r>
      <w:r>
        <w:rPr>
          <w:spacing w:val="-1"/>
        </w:rPr>
        <w:t> </w:t>
      </w:r>
      <w:r>
        <w:rPr/>
        <w:t>refiere dicha</w:t>
      </w:r>
      <w:r>
        <w:rPr>
          <w:spacing w:val="-2"/>
        </w:rPr>
        <w:t> </w:t>
      </w:r>
      <w:r>
        <w:rPr/>
        <w:t>fórmula</w:t>
      </w:r>
      <w:r>
        <w:rPr>
          <w:spacing w:val="-1"/>
        </w:rPr>
        <w:t> </w:t>
      </w:r>
      <w:r>
        <w:rPr/>
        <w:t>se</w:t>
      </w:r>
      <w:r>
        <w:rPr>
          <w:spacing w:val="-1"/>
        </w:rPr>
        <w:t> </w:t>
      </w:r>
      <w:r>
        <w:rPr/>
        <w:t>distribuirá</w:t>
      </w:r>
      <w:r>
        <w:rPr>
          <w:spacing w:val="-1"/>
        </w:rPr>
        <w:t> </w:t>
      </w:r>
      <w:r>
        <w:rPr/>
        <w:t>conforme</w:t>
      </w:r>
      <w:r>
        <w:rPr>
          <w:spacing w:val="-1"/>
        </w:rPr>
        <w:t> </w:t>
      </w:r>
      <w:r>
        <w:rPr/>
        <w:t>al</w:t>
      </w:r>
      <w:r>
        <w:rPr>
          <w:spacing w:val="-2"/>
        </w:rPr>
        <w:t> </w:t>
      </w:r>
      <w:r>
        <w:rPr/>
        <w:t>Coeficiente </w:t>
      </w:r>
      <w:r>
        <w:rPr>
          <w:spacing w:val="-2"/>
        </w:rPr>
        <w:t>C</w:t>
      </w:r>
      <w:r>
        <w:rPr>
          <w:spacing w:val="-2"/>
          <w:position w:val="-3"/>
        </w:rPr>
        <w:t>i</w:t>
      </w:r>
      <w:r>
        <w:rPr>
          <w:spacing w:val="-2"/>
        </w:rPr>
        <w:t>,</w:t>
      </w:r>
      <w:r>
        <w:rPr>
          <w:spacing w:val="-2"/>
          <w:position w:val="-3"/>
        </w:rPr>
        <w:t>t</w:t>
      </w:r>
      <w:r>
        <w:rPr>
          <w:spacing w:val="-2"/>
        </w:rPr>
        <w:t>.</w:t>
      </w:r>
    </w:p>
    <w:p>
      <w:pPr>
        <w:pStyle w:val="BodyText"/>
        <w:spacing w:line="242" w:lineRule="auto" w:before="229"/>
        <w:ind w:left="1" w:right="144" w:firstLine="288"/>
        <w:jc w:val="both"/>
      </w:pPr>
      <w:r>
        <w:rPr>
          <w:rFonts w:ascii="Arial" w:hAnsi="Arial"/>
          <w:b/>
        </w:rPr>
        <w:t>Noveno.- </w:t>
      </w:r>
      <w:r>
        <w:rPr/>
        <w:t>Lo previsto en la fracción II del artículo 2o. de la Ley de Coordinación Fiscal, respecto a la</w:t>
      </w:r>
      <w:r>
        <w:rPr>
          <w:spacing w:val="40"/>
        </w:rPr>
        <w:t> </w:t>
      </w:r>
      <w:r>
        <w:rPr/>
        <w:t>no inclusión en la recaudación federal participable del Impuesto sobre la Renta por concepto de salarios</w:t>
      </w:r>
      <w:r>
        <w:rPr>
          <w:spacing w:val="40"/>
        </w:rPr>
        <w:t> </w:t>
      </w:r>
      <w:r>
        <w:rPr/>
        <w:t>y, en general, por la prestación de un servicio personal subordinado causado por los servidores públicos; así como lo dispuesto en el artículo 3-B de dicha Ley, entrarán en vigor el 1 de enero de 2015.</w:t>
      </w:r>
    </w:p>
    <w:p>
      <w:pPr>
        <w:pStyle w:val="BodyText"/>
        <w:spacing w:before="220"/>
        <w:ind w:left="1" w:right="140" w:firstLine="288"/>
        <w:jc w:val="both"/>
      </w:pPr>
      <w:r>
        <w:rPr>
          <w:rFonts w:ascii="Arial" w:hAnsi="Arial"/>
          <w:b/>
        </w:rPr>
        <w:t>Décimo.- </w:t>
      </w:r>
      <w:r>
        <w:rPr/>
        <w:t>Lo dispuesto en el cuarto párrafo del artículo 9o. de la Ley de Coordinación Fiscal, respecto a la obligación de permitir la identificación del porcentaje total de participaciones federales afectadas por cada</w:t>
      </w:r>
      <w:r>
        <w:rPr>
          <w:spacing w:val="-1"/>
        </w:rPr>
        <w:t> </w:t>
      </w:r>
      <w:r>
        <w:rPr/>
        <w:t>Entidad y</w:t>
      </w:r>
      <w:r>
        <w:rPr>
          <w:spacing w:val="-4"/>
        </w:rPr>
        <w:t> </w:t>
      </w:r>
      <w:r>
        <w:rPr/>
        <w:t>Municipio,</w:t>
      </w:r>
      <w:r>
        <w:rPr>
          <w:spacing w:val="-1"/>
        </w:rPr>
        <w:t> </w:t>
      </w:r>
      <w:r>
        <w:rPr/>
        <w:t>así</w:t>
      </w:r>
      <w:r>
        <w:rPr>
          <w:spacing w:val="-1"/>
        </w:rPr>
        <w:t> </w:t>
      </w:r>
      <w:r>
        <w:rPr/>
        <w:t>como</w:t>
      </w:r>
      <w:r>
        <w:rPr>
          <w:spacing w:val="-1"/>
        </w:rPr>
        <w:t> </w:t>
      </w:r>
      <w:r>
        <w:rPr/>
        <w:t>su</w:t>
      </w:r>
      <w:r>
        <w:rPr>
          <w:spacing w:val="-1"/>
        </w:rPr>
        <w:t> </w:t>
      </w:r>
      <w:r>
        <w:rPr/>
        <w:t>destino</w:t>
      </w:r>
      <w:r>
        <w:rPr>
          <w:spacing w:val="-2"/>
        </w:rPr>
        <w:t> </w:t>
      </w:r>
      <w:r>
        <w:rPr/>
        <w:t>en</w:t>
      </w:r>
      <w:r>
        <w:rPr>
          <w:spacing w:val="-2"/>
        </w:rPr>
        <w:t> </w:t>
      </w:r>
      <w:r>
        <w:rPr/>
        <w:t>el</w:t>
      </w:r>
      <w:r>
        <w:rPr>
          <w:spacing w:val="-2"/>
        </w:rPr>
        <w:t> </w:t>
      </w:r>
      <w:r>
        <w:rPr/>
        <w:t>Registro</w:t>
      </w:r>
      <w:r>
        <w:rPr>
          <w:spacing w:val="-1"/>
        </w:rPr>
        <w:t> </w:t>
      </w:r>
      <w:r>
        <w:rPr/>
        <w:t>de</w:t>
      </w:r>
      <w:r>
        <w:rPr>
          <w:spacing w:val="-1"/>
        </w:rPr>
        <w:t> </w:t>
      </w:r>
      <w:r>
        <w:rPr/>
        <w:t>Obligaciones y</w:t>
      </w:r>
      <w:r>
        <w:rPr>
          <w:spacing w:val="-4"/>
        </w:rPr>
        <w:t> </w:t>
      </w:r>
      <w:r>
        <w:rPr/>
        <w:t>Empréstitos de</w:t>
      </w:r>
      <w:r>
        <w:rPr>
          <w:spacing w:val="-2"/>
        </w:rPr>
        <w:t> </w:t>
      </w:r>
      <w:r>
        <w:rPr/>
        <w:t>Entidades y Municipios entrará en vigor a los 90 días posteriores a la entrada en vigor del presente Decreto en el Diario Oficial de la Federación.</w:t>
      </w:r>
    </w:p>
    <w:p>
      <w:pPr>
        <w:pStyle w:val="BodyText"/>
      </w:pPr>
    </w:p>
    <w:p>
      <w:pPr>
        <w:pStyle w:val="BodyText"/>
        <w:spacing w:before="1"/>
        <w:ind w:left="1" w:right="142" w:firstLine="288"/>
        <w:jc w:val="both"/>
      </w:pPr>
      <w:r>
        <w:rPr>
          <w:rFonts w:ascii="Arial" w:hAnsi="Arial"/>
          <w:b/>
        </w:rPr>
        <w:t>Décimo Primero.- </w:t>
      </w:r>
      <w:r>
        <w:rPr/>
        <w:t>En tanto el Consejo Nacional de Evaluación de la Política de Desarrollo Social emita una medición adicional del número de carencias promedio de la población en pobreza extrema por municipio y demarcación territorial, las entidades transferirán a los municipios y demarcaciones territoriales los recursos por concepto de Fondo de Aportaciones para la Infraestructura Social, de acuerdo con lo dispuesto en el primer párrafo del artículo 35 de esta Ley, utilizando la siguiente fórmula para la distribución de los mismos:</w:t>
      </w:r>
    </w:p>
    <w:p>
      <w:pPr>
        <w:pStyle w:val="BodyText"/>
        <w:spacing w:before="2"/>
      </w:pPr>
    </w:p>
    <w:p>
      <w:pPr>
        <w:spacing w:before="1"/>
        <w:ind w:left="1156" w:right="1296" w:firstLine="0"/>
        <w:jc w:val="center"/>
        <w:rPr>
          <w:sz w:val="13"/>
        </w:rPr>
      </w:pPr>
      <w:r>
        <w:rPr>
          <w:spacing w:val="-2"/>
          <w:position w:val="1"/>
          <w:sz w:val="20"/>
        </w:rPr>
        <w:t>F</w:t>
      </w:r>
      <w:r>
        <w:rPr>
          <w:spacing w:val="-2"/>
          <w:sz w:val="13"/>
        </w:rPr>
        <w:t>i,t</w:t>
      </w:r>
      <w:r>
        <w:rPr>
          <w:spacing w:val="-2"/>
          <w:position w:val="1"/>
          <w:sz w:val="20"/>
        </w:rPr>
        <w:t>=F</w:t>
      </w:r>
      <w:r>
        <w:rPr>
          <w:spacing w:val="-2"/>
          <w:sz w:val="13"/>
        </w:rPr>
        <w:t>i,2013</w:t>
      </w:r>
      <w:r>
        <w:rPr>
          <w:spacing w:val="-2"/>
          <w:position w:val="1"/>
          <w:sz w:val="20"/>
        </w:rPr>
        <w:t>+∆F</w:t>
      </w:r>
      <w:r>
        <w:rPr>
          <w:spacing w:val="-2"/>
          <w:sz w:val="13"/>
        </w:rPr>
        <w:t>2013,t</w:t>
      </w:r>
      <w:r>
        <w:rPr>
          <w:spacing w:val="42"/>
          <w:sz w:val="13"/>
        </w:rPr>
        <w:t> </w:t>
      </w:r>
      <w:r>
        <w:rPr>
          <w:spacing w:val="-4"/>
          <w:position w:val="1"/>
          <w:sz w:val="20"/>
        </w:rPr>
        <w:t>z</w:t>
      </w:r>
      <w:r>
        <w:rPr>
          <w:spacing w:val="-4"/>
          <w:sz w:val="13"/>
        </w:rPr>
        <w:t>i,t</w:t>
      </w:r>
    </w:p>
    <w:p>
      <w:pPr>
        <w:pStyle w:val="BodyText"/>
        <w:spacing w:before="81"/>
        <w:rPr>
          <w:sz w:val="13"/>
        </w:rPr>
      </w:pPr>
    </w:p>
    <w:p>
      <w:pPr>
        <w:pStyle w:val="BodyText"/>
        <w:ind w:left="289"/>
      </w:pPr>
      <w:r>
        <w:rPr/>
        <w:t>En</w:t>
      </w:r>
      <w:r>
        <w:rPr>
          <w:spacing w:val="-6"/>
        </w:rPr>
        <w:t> </w:t>
      </w:r>
      <w:r>
        <w:rPr/>
        <w:t>donde</w:t>
      </w:r>
      <w:r>
        <w:rPr>
          <w:spacing w:val="-5"/>
        </w:rPr>
        <w:t> </w:t>
      </w:r>
      <w:r>
        <w:rPr/>
        <w:t>las</w:t>
      </w:r>
      <w:r>
        <w:rPr>
          <w:spacing w:val="-5"/>
        </w:rPr>
        <w:t> </w:t>
      </w:r>
      <w:r>
        <w:rPr/>
        <w:t>variables</w:t>
      </w:r>
      <w:r>
        <w:rPr>
          <w:spacing w:val="-5"/>
        </w:rPr>
        <w:t> </w:t>
      </w:r>
      <w:r>
        <w:rPr/>
        <w:t>se</w:t>
      </w:r>
      <w:r>
        <w:rPr>
          <w:spacing w:val="-4"/>
        </w:rPr>
        <w:t> </w:t>
      </w:r>
      <w:r>
        <w:rPr/>
        <w:t>definen</w:t>
      </w:r>
      <w:r>
        <w:rPr>
          <w:spacing w:val="-4"/>
        </w:rPr>
        <w:t> </w:t>
      </w:r>
      <w:r>
        <w:rPr/>
        <w:t>conforme</w:t>
      </w:r>
      <w:r>
        <w:rPr>
          <w:spacing w:val="-6"/>
        </w:rPr>
        <w:t> </w:t>
      </w:r>
      <w:r>
        <w:rPr/>
        <w:t>a</w:t>
      </w:r>
      <w:r>
        <w:rPr>
          <w:spacing w:val="-7"/>
        </w:rPr>
        <w:t> </w:t>
      </w:r>
      <w:r>
        <w:rPr/>
        <w:t>lo</w:t>
      </w:r>
      <w:r>
        <w:rPr>
          <w:spacing w:val="-6"/>
        </w:rPr>
        <w:t> </w:t>
      </w:r>
      <w:r>
        <w:rPr/>
        <w:t>establecido</w:t>
      </w:r>
      <w:r>
        <w:rPr>
          <w:spacing w:val="-5"/>
        </w:rPr>
        <w:t> </w:t>
      </w:r>
      <w:r>
        <w:rPr/>
        <w:t>en</w:t>
      </w:r>
      <w:r>
        <w:rPr>
          <w:spacing w:val="-7"/>
        </w:rPr>
        <w:t> </w:t>
      </w:r>
      <w:r>
        <w:rPr/>
        <w:t>el</w:t>
      </w:r>
      <w:r>
        <w:rPr>
          <w:spacing w:val="-7"/>
        </w:rPr>
        <w:t> </w:t>
      </w:r>
      <w:r>
        <w:rPr/>
        <w:t>artículo</w:t>
      </w:r>
      <w:r>
        <w:rPr>
          <w:spacing w:val="-4"/>
        </w:rPr>
        <w:t> </w:t>
      </w:r>
      <w:r>
        <w:rPr/>
        <w:t>34</w:t>
      </w:r>
      <w:r>
        <w:rPr>
          <w:spacing w:val="-4"/>
        </w:rPr>
        <w:t> </w:t>
      </w:r>
      <w:r>
        <w:rPr/>
        <w:t>de</w:t>
      </w:r>
      <w:r>
        <w:rPr>
          <w:spacing w:val="-6"/>
        </w:rPr>
        <w:t> </w:t>
      </w:r>
      <w:r>
        <w:rPr/>
        <w:t>esta</w:t>
      </w:r>
      <w:r>
        <w:rPr>
          <w:spacing w:val="-6"/>
        </w:rPr>
        <w:t> </w:t>
      </w:r>
      <w:r>
        <w:rPr>
          <w:spacing w:val="-4"/>
        </w:rPr>
        <w:t>Ley.</w:t>
      </w:r>
    </w:p>
    <w:p>
      <w:pPr>
        <w:pStyle w:val="BodyText"/>
        <w:spacing w:before="226"/>
        <w:ind w:left="1" w:right="143" w:firstLine="288"/>
        <w:jc w:val="both"/>
      </w:pPr>
      <w:r>
        <w:rPr>
          <w:rFonts w:ascii="Arial" w:hAnsi="Arial"/>
          <w:b/>
        </w:rPr>
        <w:t>Décimo Segundo.- </w:t>
      </w:r>
      <w:r>
        <w:rPr/>
        <w:t>Los municipios que, en los términos del artículo 51 de la Ley de Coordinación Fiscal vigente hasta antes de la entrada en vigor de este Decreto, hayan afectado como garantía del cumplimiento de sus obligaciones de pago de derechos y aprovechamientos por concepto de agua, los recursos que les corresponden del Fondo de Aportaciones para el Fortalecimiento de los Municipios y de las Demarcaciones Territoriales del Distrito Federal, continuarán sujetándose a las respectivas disposiciones emitidas con anterioridad a la entrada en vigor de este Decreto.</w:t>
      </w:r>
    </w:p>
    <w:p>
      <w:pPr>
        <w:pStyle w:val="BodyText"/>
        <w:spacing w:before="4"/>
      </w:pPr>
    </w:p>
    <w:p>
      <w:pPr>
        <w:pStyle w:val="BodyText"/>
        <w:ind w:left="1" w:right="150" w:firstLine="288"/>
        <w:jc w:val="both"/>
      </w:pPr>
      <w:r>
        <w:rPr/>
        <w:t>Lo anterior, sin perjuicio de que dichos municipios podrán optar por lo dispuesto en el artículo 51 de dicha Ley, que se reforma conforme al presente Decreto, siempre y cuando cumplan lo previsto en dicho </w:t>
      </w:r>
      <w:r>
        <w:rPr>
          <w:spacing w:val="-2"/>
        </w:rPr>
        <w:t>artículo.</w:t>
      </w:r>
    </w:p>
    <w:p>
      <w:pPr>
        <w:pStyle w:val="BodyText"/>
        <w:spacing w:before="227"/>
        <w:ind w:left="1" w:right="143" w:firstLine="288"/>
        <w:jc w:val="both"/>
      </w:pPr>
      <w:r>
        <w:rPr>
          <w:rFonts w:ascii="Arial" w:hAnsi="Arial"/>
          <w:b/>
        </w:rPr>
        <w:t>Décimo Tercero.- </w:t>
      </w:r>
      <w:r>
        <w:rPr/>
        <w:t>De conformidad con las reglas que al efecto emita la Secretaría de Hacienda y Crédito Público, la Comisión Nacional del Agua podrá aplicar los pagos corrientes que reciba de los municipios o demarcaciones territoriales por concepto de derechos y aprovechamientos de agua, así como descargas de aguas residuales, a la disminución de adeudos históricos que registren tales conceptos al cierre del mes de diciembre de 2013. Lo anterior, siempre y cuando las entidades a las que pertenezcan los municipios o demarcaciones territoriales contemplen en su legislación local el destino y afectación de los recursos del Fondo de Aportaciones para el Fortalecimiento de los Municipios y de las Demarcaciones Territoriales del Distrito Federal, para el pago de dichos derechos o aprovechamientos,</w:t>
      </w:r>
      <w:r>
        <w:rPr>
          <w:spacing w:val="40"/>
        </w:rPr>
        <w:t> </w:t>
      </w:r>
      <w:r>
        <w:rPr/>
        <w:t>en</w:t>
      </w:r>
      <w:r>
        <w:rPr>
          <w:spacing w:val="72"/>
        </w:rPr>
        <w:t> </w:t>
      </w:r>
      <w:r>
        <w:rPr/>
        <w:t>términos</w:t>
      </w:r>
      <w:r>
        <w:rPr>
          <w:spacing w:val="73"/>
        </w:rPr>
        <w:t> </w:t>
      </w:r>
      <w:r>
        <w:rPr/>
        <w:t>de</w:t>
      </w:r>
      <w:r>
        <w:rPr>
          <w:spacing w:val="73"/>
        </w:rPr>
        <w:t> </w:t>
      </w:r>
      <w:r>
        <w:rPr/>
        <w:t>lo</w:t>
      </w:r>
      <w:r>
        <w:rPr>
          <w:spacing w:val="71"/>
        </w:rPr>
        <w:t> </w:t>
      </w:r>
      <w:r>
        <w:rPr/>
        <w:t>previsto</w:t>
      </w:r>
      <w:r>
        <w:rPr>
          <w:spacing w:val="71"/>
        </w:rPr>
        <w:t> </w:t>
      </w:r>
      <w:r>
        <w:rPr/>
        <w:t>en</w:t>
      </w:r>
      <w:r>
        <w:rPr>
          <w:spacing w:val="74"/>
        </w:rPr>
        <w:t> </w:t>
      </w:r>
      <w:r>
        <w:rPr/>
        <w:t>el</w:t>
      </w:r>
      <w:r>
        <w:rPr>
          <w:spacing w:val="73"/>
        </w:rPr>
        <w:t> </w:t>
      </w:r>
      <w:r>
        <w:rPr/>
        <w:t>artículo</w:t>
      </w:r>
      <w:r>
        <w:rPr>
          <w:spacing w:val="74"/>
        </w:rPr>
        <w:t> </w:t>
      </w:r>
      <w:r>
        <w:rPr/>
        <w:t>51</w:t>
      </w:r>
      <w:r>
        <w:rPr>
          <w:spacing w:val="73"/>
        </w:rPr>
        <w:t> </w:t>
      </w:r>
      <w:r>
        <w:rPr/>
        <w:t>de</w:t>
      </w:r>
      <w:r>
        <w:rPr>
          <w:spacing w:val="74"/>
        </w:rPr>
        <w:t> </w:t>
      </w:r>
      <w:r>
        <w:rPr/>
        <w:t>la</w:t>
      </w:r>
      <w:r>
        <w:rPr>
          <w:spacing w:val="74"/>
        </w:rPr>
        <w:t> </w:t>
      </w:r>
      <w:r>
        <w:rPr/>
        <w:t>Ley</w:t>
      </w:r>
      <w:r>
        <w:rPr>
          <w:spacing w:val="71"/>
        </w:rPr>
        <w:t> </w:t>
      </w:r>
      <w:r>
        <w:rPr/>
        <w:t>de</w:t>
      </w:r>
      <w:r>
        <w:rPr>
          <w:spacing w:val="73"/>
        </w:rPr>
        <w:t> </w:t>
      </w:r>
      <w:r>
        <w:rPr/>
        <w:t>Coordinación</w:t>
      </w:r>
      <w:r>
        <w:rPr>
          <w:spacing w:val="74"/>
        </w:rPr>
        <w:t> </w:t>
      </w:r>
      <w:r>
        <w:rPr/>
        <w:t>Fiscal.</w:t>
      </w:r>
      <w:r>
        <w:rPr>
          <w:spacing w:val="74"/>
        </w:rPr>
        <w:t> </w:t>
      </w:r>
      <w:r>
        <w:rPr/>
        <w:t>En</w:t>
      </w:r>
      <w:r>
        <w:rPr>
          <w:spacing w:val="74"/>
        </w:rPr>
        <w:t> </w:t>
      </w:r>
      <w:r>
        <w:rPr/>
        <w:t>el</w:t>
      </w:r>
      <w:r>
        <w:rPr>
          <w:spacing w:val="71"/>
        </w:rPr>
        <w:t> </w:t>
      </w:r>
      <w:r>
        <w:rPr/>
        <w:t>caso</w:t>
      </w:r>
      <w:r>
        <w:rPr>
          <w:spacing w:val="74"/>
        </w:rPr>
        <w:t> </w:t>
      </w:r>
      <w:r>
        <w:rPr/>
        <w:t>de</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right="145"/>
        <w:jc w:val="both"/>
      </w:pPr>
      <w:r>
        <w:rPr/>
        <w:t>incumplimiento de los pagos correspondientes, la Comisión Nacional del Agua podrá solicitar las retenciones a las que hace referencia el artículo 51 de la Ley de Coordinación Fiscal, a partir del 1 de enero de 2014.</w:t>
      </w:r>
    </w:p>
    <w:p>
      <w:pPr>
        <w:pStyle w:val="BodyText"/>
      </w:pPr>
    </w:p>
    <w:p>
      <w:pPr>
        <w:pStyle w:val="BodyText"/>
        <w:ind w:left="1" w:right="153" w:firstLine="288"/>
      </w:pPr>
      <w:r>
        <w:rPr/>
        <w:t>Los municipios o demarcaciones territoriales que se acojan a lo dispuesto en este artículo y cumplan con las citadas reglas, gozarán de los siguientes estímulos fiscales:</w:t>
      </w:r>
    </w:p>
    <w:p>
      <w:pPr>
        <w:pStyle w:val="ListParagraph"/>
        <w:numPr>
          <w:ilvl w:val="0"/>
          <w:numId w:val="22"/>
        </w:numPr>
        <w:tabs>
          <w:tab w:pos="1009" w:val="left" w:leader="none"/>
        </w:tabs>
        <w:spacing w:line="240" w:lineRule="auto" w:before="229" w:after="0"/>
        <w:ind w:left="1009" w:right="139" w:hanging="720"/>
        <w:jc w:val="both"/>
        <w:rPr>
          <w:sz w:val="20"/>
        </w:rPr>
      </w:pPr>
      <w:r>
        <w:rPr>
          <w:sz w:val="20"/>
        </w:rPr>
        <w:t>Una</w:t>
      </w:r>
      <w:r>
        <w:rPr>
          <w:spacing w:val="-5"/>
          <w:sz w:val="20"/>
        </w:rPr>
        <w:t> </w:t>
      </w:r>
      <w:r>
        <w:rPr>
          <w:sz w:val="20"/>
        </w:rPr>
        <w:t>cantidad</w:t>
      </w:r>
      <w:r>
        <w:rPr>
          <w:spacing w:val="-2"/>
          <w:sz w:val="20"/>
        </w:rPr>
        <w:t> </w:t>
      </w:r>
      <w:r>
        <w:rPr>
          <w:sz w:val="20"/>
        </w:rPr>
        <w:t>equivalente</w:t>
      </w:r>
      <w:r>
        <w:rPr>
          <w:spacing w:val="-4"/>
          <w:sz w:val="20"/>
        </w:rPr>
        <w:t> </w:t>
      </w:r>
      <w:r>
        <w:rPr>
          <w:sz w:val="20"/>
        </w:rPr>
        <w:t>al</w:t>
      </w:r>
      <w:r>
        <w:rPr>
          <w:spacing w:val="-2"/>
          <w:sz w:val="20"/>
        </w:rPr>
        <w:t> </w:t>
      </w:r>
      <w:r>
        <w:rPr>
          <w:sz w:val="20"/>
        </w:rPr>
        <w:t>total</w:t>
      </w:r>
      <w:r>
        <w:rPr>
          <w:spacing w:val="-3"/>
          <w:sz w:val="20"/>
        </w:rPr>
        <w:t> </w:t>
      </w:r>
      <w:r>
        <w:rPr>
          <w:sz w:val="20"/>
        </w:rPr>
        <w:t>de</w:t>
      </w:r>
      <w:r>
        <w:rPr>
          <w:spacing w:val="-2"/>
          <w:sz w:val="20"/>
        </w:rPr>
        <w:t> </w:t>
      </w:r>
      <w:r>
        <w:rPr>
          <w:sz w:val="20"/>
        </w:rPr>
        <w:t>los</w:t>
      </w:r>
      <w:r>
        <w:rPr>
          <w:spacing w:val="-1"/>
          <w:sz w:val="20"/>
        </w:rPr>
        <w:t> </w:t>
      </w:r>
      <w:r>
        <w:rPr>
          <w:sz w:val="20"/>
        </w:rPr>
        <w:t>accesorios y</w:t>
      </w:r>
      <w:r>
        <w:rPr>
          <w:spacing w:val="-7"/>
          <w:sz w:val="20"/>
        </w:rPr>
        <w:t> </w:t>
      </w:r>
      <w:r>
        <w:rPr>
          <w:sz w:val="20"/>
        </w:rPr>
        <w:t>actualización</w:t>
      </w:r>
      <w:r>
        <w:rPr>
          <w:spacing w:val="-2"/>
          <w:sz w:val="20"/>
        </w:rPr>
        <w:t> </w:t>
      </w:r>
      <w:r>
        <w:rPr>
          <w:sz w:val="20"/>
        </w:rPr>
        <w:t>correspondientes</w:t>
      </w:r>
      <w:r>
        <w:rPr>
          <w:spacing w:val="-3"/>
          <w:sz w:val="20"/>
        </w:rPr>
        <w:t> </w:t>
      </w:r>
      <w:r>
        <w:rPr>
          <w:sz w:val="20"/>
        </w:rPr>
        <w:t>al</w:t>
      </w:r>
      <w:r>
        <w:rPr>
          <w:spacing w:val="-3"/>
          <w:sz w:val="20"/>
        </w:rPr>
        <w:t> </w:t>
      </w:r>
      <w:r>
        <w:rPr>
          <w:sz w:val="20"/>
        </w:rPr>
        <w:t>adeudo histórico generado hasta el 31 de diciembre de 2013 por concepto del derecho por la explotación, uso o aprovechamiento de aguas nacionales y del derecho por descargas de aguas residuales, a que se refieren los artículos 223 y</w:t>
      </w:r>
      <w:r>
        <w:rPr>
          <w:spacing w:val="-2"/>
          <w:sz w:val="20"/>
        </w:rPr>
        <w:t> </w:t>
      </w:r>
      <w:r>
        <w:rPr>
          <w:sz w:val="20"/>
        </w:rPr>
        <w:t>276</w:t>
      </w:r>
      <w:r>
        <w:rPr>
          <w:spacing w:val="-1"/>
          <w:sz w:val="20"/>
        </w:rPr>
        <w:t> </w:t>
      </w:r>
      <w:r>
        <w:rPr>
          <w:sz w:val="20"/>
        </w:rPr>
        <w:t>de la Ley</w:t>
      </w:r>
      <w:r>
        <w:rPr>
          <w:spacing w:val="-2"/>
          <w:sz w:val="20"/>
        </w:rPr>
        <w:t> </w:t>
      </w:r>
      <w:r>
        <w:rPr>
          <w:sz w:val="20"/>
        </w:rPr>
        <w:t>Federal de Derechos y</w:t>
      </w:r>
      <w:r>
        <w:rPr>
          <w:spacing w:val="-2"/>
          <w:sz w:val="20"/>
        </w:rPr>
        <w:t> </w:t>
      </w:r>
      <w:r>
        <w:rPr>
          <w:sz w:val="20"/>
        </w:rPr>
        <w:t>el aprovechamiento derivado del servicio de suministro de agua en bloque que proporciona la Federación, que se causen a partir del 1 de enero de 2014 y hasta la fecha en que se lleve a cabo el primer pago corriente que se realice después de haberse acogido a lo dispuesto por esta fracción. El estímulo que resulte se acreditará contra el monto de los accesorios y actualización causados durante dicho periodo por el citado adeudo histórico.</w:t>
      </w:r>
    </w:p>
    <w:p>
      <w:pPr>
        <w:pStyle w:val="ListParagraph"/>
        <w:numPr>
          <w:ilvl w:val="0"/>
          <w:numId w:val="22"/>
        </w:numPr>
        <w:tabs>
          <w:tab w:pos="1006" w:val="left" w:leader="none"/>
          <w:tab w:pos="1009" w:val="left" w:leader="none"/>
        </w:tabs>
        <w:spacing w:line="240" w:lineRule="auto" w:before="230" w:after="0"/>
        <w:ind w:left="1009" w:right="144" w:hanging="720"/>
        <w:jc w:val="both"/>
        <w:rPr>
          <w:sz w:val="20"/>
        </w:rPr>
      </w:pPr>
      <w:r>
        <w:rPr>
          <w:sz w:val="20"/>
        </w:rPr>
        <w:t>Una</w:t>
      </w:r>
      <w:r>
        <w:rPr>
          <w:spacing w:val="-5"/>
          <w:sz w:val="20"/>
        </w:rPr>
        <w:t> </w:t>
      </w:r>
      <w:r>
        <w:rPr>
          <w:sz w:val="20"/>
        </w:rPr>
        <w:t>cantidad</w:t>
      </w:r>
      <w:r>
        <w:rPr>
          <w:spacing w:val="-2"/>
          <w:sz w:val="20"/>
        </w:rPr>
        <w:t> </w:t>
      </w:r>
      <w:r>
        <w:rPr>
          <w:sz w:val="20"/>
        </w:rPr>
        <w:t>equivalente</w:t>
      </w:r>
      <w:r>
        <w:rPr>
          <w:spacing w:val="-4"/>
          <w:sz w:val="20"/>
        </w:rPr>
        <w:t> </w:t>
      </w:r>
      <w:r>
        <w:rPr>
          <w:sz w:val="20"/>
        </w:rPr>
        <w:t>al</w:t>
      </w:r>
      <w:r>
        <w:rPr>
          <w:spacing w:val="-5"/>
          <w:sz w:val="20"/>
        </w:rPr>
        <w:t> </w:t>
      </w:r>
      <w:r>
        <w:rPr>
          <w:sz w:val="20"/>
        </w:rPr>
        <w:t>total</w:t>
      </w:r>
      <w:r>
        <w:rPr>
          <w:spacing w:val="-3"/>
          <w:sz w:val="20"/>
        </w:rPr>
        <w:t> </w:t>
      </w:r>
      <w:r>
        <w:rPr>
          <w:sz w:val="20"/>
        </w:rPr>
        <w:t>de</w:t>
      </w:r>
      <w:r>
        <w:rPr>
          <w:spacing w:val="-2"/>
          <w:sz w:val="20"/>
        </w:rPr>
        <w:t> </w:t>
      </w:r>
      <w:r>
        <w:rPr>
          <w:sz w:val="20"/>
        </w:rPr>
        <w:t>los</w:t>
      </w:r>
      <w:r>
        <w:rPr>
          <w:spacing w:val="-1"/>
          <w:sz w:val="20"/>
        </w:rPr>
        <w:t> </w:t>
      </w:r>
      <w:r>
        <w:rPr>
          <w:sz w:val="20"/>
        </w:rPr>
        <w:t>accesorios y</w:t>
      </w:r>
      <w:r>
        <w:rPr>
          <w:spacing w:val="-7"/>
          <w:sz w:val="20"/>
        </w:rPr>
        <w:t> </w:t>
      </w:r>
      <w:r>
        <w:rPr>
          <w:sz w:val="20"/>
        </w:rPr>
        <w:t>actualización</w:t>
      </w:r>
      <w:r>
        <w:rPr>
          <w:spacing w:val="-2"/>
          <w:sz w:val="20"/>
        </w:rPr>
        <w:t> </w:t>
      </w:r>
      <w:r>
        <w:rPr>
          <w:sz w:val="20"/>
        </w:rPr>
        <w:t>correspondientes</w:t>
      </w:r>
      <w:r>
        <w:rPr>
          <w:spacing w:val="-3"/>
          <w:sz w:val="20"/>
        </w:rPr>
        <w:t> </w:t>
      </w:r>
      <w:r>
        <w:rPr>
          <w:sz w:val="20"/>
        </w:rPr>
        <w:t>al</w:t>
      </w:r>
      <w:r>
        <w:rPr>
          <w:spacing w:val="-3"/>
          <w:sz w:val="20"/>
        </w:rPr>
        <w:t> </w:t>
      </w:r>
      <w:r>
        <w:rPr>
          <w:sz w:val="20"/>
        </w:rPr>
        <w:t>adeudo histórico generado hasta el 31 de diciembre de 2013 por concepto de los derechos y aprovechamiento a que se refiere la fracción anterior, que se causen entre la fecha en que se lleve a cabo un pago corriente y la fecha de realización de cada pago corriente subsecuente. El estímulo se acreditará contra el monto de los accesorios y actualización del remanente del citado adeudo histórico, causados durante el mismo periodo a que corresponda el estímulo.</w:t>
      </w:r>
    </w:p>
    <w:p>
      <w:pPr>
        <w:pStyle w:val="BodyText"/>
      </w:pPr>
    </w:p>
    <w:p>
      <w:pPr>
        <w:pStyle w:val="ListParagraph"/>
        <w:numPr>
          <w:ilvl w:val="0"/>
          <w:numId w:val="22"/>
        </w:numPr>
        <w:tabs>
          <w:tab w:pos="1005" w:val="left" w:leader="none"/>
          <w:tab w:pos="1009" w:val="left" w:leader="none"/>
        </w:tabs>
        <w:spacing w:line="240" w:lineRule="auto" w:before="0" w:after="0"/>
        <w:ind w:left="1009" w:right="139" w:hanging="720"/>
        <w:jc w:val="both"/>
        <w:rPr>
          <w:sz w:val="20"/>
        </w:rPr>
      </w:pPr>
      <w:r>
        <w:rPr>
          <w:sz w:val="20"/>
        </w:rPr>
        <w:t>A los municipios a los que se haya autorizado solicitud de adhesión a lo dispuesto por la fracción II del artículo Segundo del “Decreto por el que se reforman, adicionan, derogan y abrogan diversas disposiciones de la Ley de Coordinación Fiscal, de la Ley del Impuesto</w:t>
      </w:r>
      <w:r>
        <w:rPr>
          <w:spacing w:val="40"/>
          <w:sz w:val="20"/>
        </w:rPr>
        <w:t> </w:t>
      </w:r>
      <w:r>
        <w:rPr>
          <w:sz w:val="20"/>
        </w:rPr>
        <w:t>sobre Tenencia o Uso de Vehículos y de la Ley del Impuesto Especial sobre Producción y Servicios”, publicado en el Diario Oficial de la Federación el 21 de diciembre de 2007, así como las Reglas para la aplicación del artículo segundo, fracción II, de las disposiciones transitorias de la Ley de Coordinación Fiscal contenidas en dicho Decreto, publicadas en el Diario Oficial de la Federación el 28 de marzo de 2008, y modificadas mediante acuerdo publicado en dicho órgano de difusión oficial el 12 de diciembre del mismo año, y que aún cuenten con remanente del adeudo histórico pendiente de disminuir, por concepto de</w:t>
      </w:r>
      <w:r>
        <w:rPr>
          <w:spacing w:val="40"/>
          <w:sz w:val="20"/>
        </w:rPr>
        <w:t> </w:t>
      </w:r>
      <w:r>
        <w:rPr>
          <w:sz w:val="20"/>
        </w:rPr>
        <w:t>derechos y aprovechamientos de agua generado hasta el 2007, se les disminuirá en su totalidad dicho remanente, siempre y cuando se cumpla con los requisitos, condiciones y plazos que se establezcan en las reglas que al efecto emita la Secretaría de Hacienda y Crédito Público.</w:t>
      </w:r>
    </w:p>
    <w:p>
      <w:pPr>
        <w:pStyle w:val="BodyText"/>
        <w:spacing w:before="2"/>
      </w:pPr>
    </w:p>
    <w:p>
      <w:pPr>
        <w:pStyle w:val="BodyText"/>
        <w:spacing w:before="1"/>
        <w:ind w:left="1009" w:right="143"/>
        <w:jc w:val="both"/>
      </w:pPr>
      <w:r>
        <w:rPr/>
        <w:t>Los municipios o demarcaciones territoriales, y en su caso, las entidades en coordinación con sus municipios o demarcaciones territoriales, que acrediten ante la Comisión Nacional del Agua la instalación y funcionamiento de los dispositivos de medición de cada uno de sus aprovechamientos de agua y puntos de descarga, obtendrán la disminución de su adeudo histórico en una proporción mayor tal como se establezca en las reglas que al efecto emita la Secretaría de Hacienda y Crédito Público.</w:t>
      </w:r>
    </w:p>
    <w:p>
      <w:pPr>
        <w:pStyle w:val="BodyText"/>
      </w:pPr>
    </w:p>
    <w:p>
      <w:pPr>
        <w:pStyle w:val="BodyText"/>
        <w:ind w:left="1009" w:right="143"/>
        <w:jc w:val="both"/>
      </w:pPr>
      <w:r>
        <w:rPr/>
        <w:t>Para el caso de los municipios o demarcaciones territoriales, y en su caso, las entidades en coordinación con sus municipios o demarcaciones territoriales, que estando adheridos a estos beneficios dejen de estar obligados al pago de derechos y aprovechamientos por agua y derechos por descargas por así disponerlo la ley respectiva, la Comisión Nacional del Agua podrá disminuir la totalidad de los adeudos a cargo de dichos contribuyentes de conformidad con las reglas que al efecto emita la Secretaría de Hacienda y Crédito Público.</w:t>
      </w:r>
    </w:p>
    <w:p>
      <w:pPr>
        <w:pStyle w:val="BodyText"/>
        <w:spacing w:after="0"/>
        <w:jc w:val="both"/>
        <w:sectPr>
          <w:pgSz w:w="12250" w:h="15850"/>
          <w:pgMar w:header="724" w:footer="712" w:top="1880" w:bottom="900" w:left="1417" w:right="1275"/>
        </w:sectPr>
      </w:pPr>
    </w:p>
    <w:p>
      <w:pPr>
        <w:pStyle w:val="BodyText"/>
        <w:spacing w:before="65"/>
      </w:pPr>
    </w:p>
    <w:p>
      <w:pPr>
        <w:pStyle w:val="BodyText"/>
        <w:ind w:left="1" w:right="144" w:firstLine="288"/>
        <w:jc w:val="both"/>
      </w:pPr>
      <w:r>
        <w:rPr>
          <w:rFonts w:ascii="Arial" w:hAnsi="Arial"/>
          <w:b/>
        </w:rPr>
        <w:t>Décimo Cuarto.- </w:t>
      </w:r>
      <w:r>
        <w:rPr/>
        <w:t>A partir de la entrada en vigor del presente Decreto queda sin efectos el Artículo Segundo, fracción III, tercer párrafo del Decreto por el que se reforman, adicionan, derogan y abrogan diversas disposiciones de la Ley</w:t>
      </w:r>
      <w:r>
        <w:rPr>
          <w:spacing w:val="-3"/>
        </w:rPr>
        <w:t> </w:t>
      </w:r>
      <w:r>
        <w:rPr/>
        <w:t>de Coordinación</w:t>
      </w:r>
      <w:r>
        <w:rPr>
          <w:spacing w:val="-1"/>
        </w:rPr>
        <w:t> </w:t>
      </w:r>
      <w:r>
        <w:rPr/>
        <w:t>Fiscal, de la Ley</w:t>
      </w:r>
      <w:r>
        <w:rPr>
          <w:spacing w:val="-3"/>
        </w:rPr>
        <w:t> </w:t>
      </w:r>
      <w:r>
        <w:rPr/>
        <w:t>del</w:t>
      </w:r>
      <w:r>
        <w:rPr>
          <w:spacing w:val="-1"/>
        </w:rPr>
        <w:t> </w:t>
      </w:r>
      <w:r>
        <w:rPr/>
        <w:t>Impuesto sobre Tenencia o Uso de Vehículos y de la Ley del Impuesto Especial sobre Producción y Servicios, publicado en el Diario Oficial de la Federación el 21 de Diciembre de 2007.</w:t>
      </w:r>
    </w:p>
    <w:p>
      <w:pPr>
        <w:pStyle w:val="BodyText"/>
      </w:pPr>
    </w:p>
    <w:p>
      <w:pPr>
        <w:pStyle w:val="BodyText"/>
        <w:spacing w:line="242" w:lineRule="auto"/>
        <w:ind w:left="1" w:right="149" w:firstLine="288"/>
        <w:jc w:val="both"/>
      </w:pPr>
      <w:r>
        <w:rPr>
          <w:rFonts w:ascii="Arial" w:hAnsi="Arial"/>
          <w:b/>
        </w:rPr>
        <w:t>Décimo Quinto.- </w:t>
      </w:r>
      <w:r>
        <w:rPr/>
        <w:t>El artículo 33, Apartado B, fracción III de la Ley, entrará en vigor a partir del primero de enero de 2016.</w:t>
      </w:r>
    </w:p>
    <w:p>
      <w:pPr>
        <w:spacing w:before="224"/>
        <w:ind w:left="1" w:right="140" w:firstLine="288"/>
        <w:jc w:val="both"/>
        <w:rPr>
          <w:rFonts w:ascii="Arial" w:hAnsi="Arial"/>
          <w:b/>
          <w:sz w:val="20"/>
        </w:rPr>
      </w:pPr>
      <w:r>
        <w:rPr>
          <w:sz w:val="20"/>
        </w:rPr>
        <w:t>México, D. F., a 29 de octubre de 2013.- Sen. </w:t>
      </w:r>
      <w:r>
        <w:rPr>
          <w:rFonts w:ascii="Arial" w:hAnsi="Arial"/>
          <w:b/>
          <w:sz w:val="20"/>
        </w:rPr>
        <w:t>Raúl Cervantes Andrade</w:t>
      </w:r>
      <w:r>
        <w:rPr>
          <w:sz w:val="20"/>
        </w:rPr>
        <w:t>, Presidente.- Dip. </w:t>
      </w:r>
      <w:r>
        <w:rPr>
          <w:rFonts w:ascii="Arial" w:hAnsi="Arial"/>
          <w:b/>
          <w:sz w:val="20"/>
        </w:rPr>
        <w:t>Ricardo Anaya Cortés</w:t>
      </w:r>
      <w:r>
        <w:rPr>
          <w:sz w:val="20"/>
        </w:rPr>
        <w:t>, Presidente.- Sen. </w:t>
      </w:r>
      <w:r>
        <w:rPr>
          <w:rFonts w:ascii="Arial" w:hAnsi="Arial"/>
          <w:b/>
          <w:sz w:val="20"/>
        </w:rPr>
        <w:t>María Elena Barrera Tapia</w:t>
      </w:r>
      <w:r>
        <w:rPr>
          <w:sz w:val="20"/>
        </w:rPr>
        <w:t>, Secretaria.- Dip. </w:t>
      </w:r>
      <w:r>
        <w:rPr>
          <w:rFonts w:ascii="Arial" w:hAnsi="Arial"/>
          <w:b/>
          <w:sz w:val="20"/>
        </w:rPr>
        <w:t>Angelina Carreño Mijares</w:t>
      </w:r>
      <w:r>
        <w:rPr>
          <w:sz w:val="20"/>
        </w:rPr>
        <w:t>, Secretaria.- Rúbricas.</w:t>
      </w:r>
      <w:r>
        <w:rPr>
          <w:rFonts w:ascii="Arial" w:hAnsi="Arial"/>
          <w:b/>
          <w:sz w:val="20"/>
        </w:rPr>
        <w:t>"</w:t>
      </w:r>
    </w:p>
    <w:p>
      <w:pPr>
        <w:pStyle w:val="BodyText"/>
        <w:spacing w:before="5"/>
        <w:rPr>
          <w:rFonts w:ascii="Arial"/>
          <w:b/>
        </w:rPr>
      </w:pPr>
    </w:p>
    <w:p>
      <w:pPr>
        <w:pStyle w:val="BodyText"/>
        <w:ind w:left="1"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seis de diciembre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2"/>
        <w:jc w:val="both"/>
      </w:pPr>
      <w:r>
        <w:rPr/>
        <w:t>DECRETO por el que se expide la Ley de Ingresos sobre Hidrocarburos, se reforman, adicionan y</w:t>
      </w:r>
      <w:r>
        <w:rPr>
          <w:spacing w:val="-2"/>
        </w:rPr>
        <w:t> </w:t>
      </w:r>
      <w:r>
        <w:rPr/>
        <w:t>derogan diversas disposiciones de la Ley</w:t>
      </w:r>
      <w:r>
        <w:rPr>
          <w:spacing w:val="-2"/>
        </w:rPr>
        <w:t> </w:t>
      </w:r>
      <w:r>
        <w:rPr/>
        <w:t>Federal de Derechos y</w:t>
      </w:r>
      <w:r>
        <w:rPr>
          <w:spacing w:val="-2"/>
        </w:rPr>
        <w:t> </w:t>
      </w:r>
      <w:r>
        <w:rPr/>
        <w:t>de la Ley</w:t>
      </w:r>
      <w:r>
        <w:rPr>
          <w:spacing w:val="-2"/>
        </w:rPr>
        <w:t> </w:t>
      </w:r>
      <w:r>
        <w:rPr/>
        <w:t>de Coordinación Fiscal y se expide la Ley del Fondo Mexicano del Petróleo para la Estabilización y el Desarrollo.</w:t>
      </w:r>
    </w:p>
    <w:p>
      <w:pPr>
        <w:spacing w:before="232"/>
        <w:ind w:left="1156" w:right="1298"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11</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2014</w:t>
      </w:r>
    </w:p>
    <w:p>
      <w:pPr>
        <w:pStyle w:val="BodyText"/>
        <w:spacing w:before="46"/>
        <w:rPr>
          <w:sz w:val="16"/>
        </w:rPr>
      </w:pPr>
    </w:p>
    <w:p>
      <w:pPr>
        <w:pStyle w:val="BodyText"/>
        <w:ind w:left="1" w:right="142" w:firstLine="288"/>
        <w:jc w:val="both"/>
      </w:pPr>
      <w:r>
        <w:rPr>
          <w:rFonts w:ascii="Arial" w:hAnsi="Arial"/>
          <w:b/>
        </w:rPr>
        <w:t>ARTÍCULO QUINTO. </w:t>
      </w:r>
      <w:r>
        <w:rPr/>
        <w:t>Se </w:t>
      </w:r>
      <w:r>
        <w:rPr>
          <w:rFonts w:ascii="Arial" w:hAnsi="Arial"/>
          <w:b/>
        </w:rPr>
        <w:t>reforman </w:t>
      </w:r>
      <w:r>
        <w:rPr/>
        <w:t>los artículos 2o., párrafo segundo y fracciones I, VIII y IX; 2-A, fracción II; 4o-A, fracciones I, primer párrafo y II, tercer párrafo y 4o-B, párrafos primero y tercero y, se </w:t>
      </w:r>
      <w:r>
        <w:rPr>
          <w:rFonts w:ascii="Arial" w:hAnsi="Arial"/>
          <w:b/>
        </w:rPr>
        <w:t>adicionan </w:t>
      </w:r>
      <w:r>
        <w:rPr/>
        <w:t>una</w:t>
      </w:r>
      <w:r>
        <w:rPr>
          <w:spacing w:val="-1"/>
        </w:rPr>
        <w:t> </w:t>
      </w:r>
      <w:r>
        <w:rPr/>
        <w:t>fracción</w:t>
      </w:r>
      <w:r>
        <w:rPr>
          <w:spacing w:val="-2"/>
        </w:rPr>
        <w:t> </w:t>
      </w:r>
      <w:r>
        <w:rPr/>
        <w:t>X y</w:t>
      </w:r>
      <w:r>
        <w:rPr>
          <w:spacing w:val="-2"/>
        </w:rPr>
        <w:t> </w:t>
      </w:r>
      <w:r>
        <w:rPr/>
        <w:t>un</w:t>
      </w:r>
      <w:r>
        <w:rPr>
          <w:spacing w:val="-2"/>
        </w:rPr>
        <w:t> </w:t>
      </w:r>
      <w:r>
        <w:rPr/>
        <w:t>tercer párrafo</w:t>
      </w:r>
      <w:r>
        <w:rPr>
          <w:spacing w:val="-1"/>
        </w:rPr>
        <w:t> </w:t>
      </w:r>
      <w:r>
        <w:rPr/>
        <w:t>al artículo</w:t>
      </w:r>
      <w:r>
        <w:rPr>
          <w:spacing w:val="-1"/>
        </w:rPr>
        <w:t> </w:t>
      </w:r>
      <w:r>
        <w:rPr/>
        <w:t>2o. de la Ley</w:t>
      </w:r>
      <w:r>
        <w:rPr>
          <w:spacing w:val="-2"/>
        </w:rPr>
        <w:t> </w:t>
      </w:r>
      <w:r>
        <w:rPr/>
        <w:t>de</w:t>
      </w:r>
      <w:r>
        <w:rPr>
          <w:spacing w:val="-2"/>
        </w:rPr>
        <w:t> </w:t>
      </w:r>
      <w:r>
        <w:rPr/>
        <w:t>Coordinación</w:t>
      </w:r>
      <w:r>
        <w:rPr>
          <w:spacing w:val="-2"/>
        </w:rPr>
        <w:t> </w:t>
      </w:r>
      <w:r>
        <w:rPr/>
        <w:t>Fiscal, para quedar como sigue:</w:t>
      </w:r>
    </w:p>
    <w:p>
      <w:pPr>
        <w:pStyle w:val="BodyText"/>
        <w:spacing w:before="3"/>
      </w:pPr>
    </w:p>
    <w:p>
      <w:pPr>
        <w:spacing w:before="0"/>
        <w:ind w:left="289" w:right="0" w:firstLine="0"/>
        <w:jc w:val="left"/>
        <w:rPr>
          <w:sz w:val="20"/>
        </w:rPr>
      </w:pPr>
      <w:r>
        <w:rPr>
          <w:spacing w:val="-4"/>
          <w:sz w:val="20"/>
        </w:rPr>
        <w:t>……….</w:t>
      </w:r>
    </w:p>
    <w:p>
      <w:pPr>
        <w:pStyle w:val="BodyText"/>
        <w:spacing w:before="228"/>
        <w:ind w:left="1" w:right="151" w:firstLine="288"/>
        <w:jc w:val="both"/>
      </w:pPr>
      <w:r>
        <w:rPr>
          <w:rFonts w:ascii="Arial" w:hAnsi="Arial"/>
          <w:b/>
        </w:rPr>
        <w:t>ARTÍCULO SEXTO. </w:t>
      </w:r>
      <w:r>
        <w:rPr/>
        <w:t>Se establecen las</w:t>
      </w:r>
      <w:r>
        <w:rPr>
          <w:spacing w:val="-1"/>
        </w:rPr>
        <w:t> </w:t>
      </w:r>
      <w:r>
        <w:rPr/>
        <w:t>siguientes</w:t>
      </w:r>
      <w:r>
        <w:rPr>
          <w:spacing w:val="-1"/>
        </w:rPr>
        <w:t> </w:t>
      </w:r>
      <w:r>
        <w:rPr/>
        <w:t>disposiciones</w:t>
      </w:r>
      <w:r>
        <w:rPr>
          <w:spacing w:val="-1"/>
        </w:rPr>
        <w:t> </w:t>
      </w:r>
      <w:r>
        <w:rPr/>
        <w:t>transitorias</w:t>
      </w:r>
      <w:r>
        <w:rPr>
          <w:spacing w:val="-1"/>
        </w:rPr>
        <w:t> </w:t>
      </w:r>
      <w:r>
        <w:rPr/>
        <w:t>de</w:t>
      </w:r>
      <w:r>
        <w:rPr>
          <w:spacing w:val="-2"/>
        </w:rPr>
        <w:t> </w:t>
      </w:r>
      <w:r>
        <w:rPr/>
        <w:t>la Ley</w:t>
      </w:r>
      <w:r>
        <w:rPr>
          <w:spacing w:val="-3"/>
        </w:rPr>
        <w:t> </w:t>
      </w:r>
      <w:r>
        <w:rPr/>
        <w:t>de Coordinación </w:t>
      </w:r>
      <w:r>
        <w:rPr>
          <w:spacing w:val="-2"/>
        </w:rPr>
        <w:t>Fiscal:</w:t>
      </w:r>
    </w:p>
    <w:p>
      <w:pPr>
        <w:pStyle w:val="ListParagraph"/>
        <w:numPr>
          <w:ilvl w:val="0"/>
          <w:numId w:val="23"/>
        </w:numPr>
        <w:tabs>
          <w:tab w:pos="1009" w:val="left" w:leader="none"/>
        </w:tabs>
        <w:spacing w:line="240" w:lineRule="auto" w:before="229" w:after="0"/>
        <w:ind w:left="1009" w:right="0" w:hanging="720"/>
        <w:jc w:val="left"/>
        <w:rPr>
          <w:sz w:val="20"/>
        </w:rPr>
      </w:pPr>
      <w:r>
        <w:rPr>
          <w:sz w:val="20"/>
        </w:rPr>
        <w:t>Las</w:t>
      </w:r>
      <w:r>
        <w:rPr>
          <w:spacing w:val="-5"/>
          <w:sz w:val="20"/>
        </w:rPr>
        <w:t> </w:t>
      </w:r>
      <w:r>
        <w:rPr>
          <w:sz w:val="20"/>
        </w:rPr>
        <w:t>reformas</w:t>
      </w:r>
      <w:r>
        <w:rPr>
          <w:spacing w:val="-4"/>
          <w:sz w:val="20"/>
        </w:rPr>
        <w:t> </w:t>
      </w:r>
      <w:r>
        <w:rPr>
          <w:sz w:val="20"/>
        </w:rPr>
        <w:t>a</w:t>
      </w:r>
      <w:r>
        <w:rPr>
          <w:spacing w:val="-7"/>
          <w:sz w:val="20"/>
        </w:rPr>
        <w:t> </w:t>
      </w:r>
      <w:r>
        <w:rPr>
          <w:sz w:val="20"/>
        </w:rPr>
        <w:t>la</w:t>
      </w:r>
      <w:r>
        <w:rPr>
          <w:spacing w:val="-5"/>
          <w:sz w:val="20"/>
        </w:rPr>
        <w:t> </w:t>
      </w:r>
      <w:r>
        <w:rPr>
          <w:sz w:val="20"/>
        </w:rPr>
        <w:t>Ley</w:t>
      </w:r>
      <w:r>
        <w:rPr>
          <w:spacing w:val="-6"/>
          <w:sz w:val="20"/>
        </w:rPr>
        <w:t> </w:t>
      </w:r>
      <w:r>
        <w:rPr>
          <w:sz w:val="20"/>
        </w:rPr>
        <w:t>de</w:t>
      </w:r>
      <w:r>
        <w:rPr>
          <w:spacing w:val="-5"/>
          <w:sz w:val="20"/>
        </w:rPr>
        <w:t> </w:t>
      </w:r>
      <w:r>
        <w:rPr>
          <w:sz w:val="20"/>
        </w:rPr>
        <w:t>Coordinación</w:t>
      </w:r>
      <w:r>
        <w:rPr>
          <w:spacing w:val="-6"/>
          <w:sz w:val="20"/>
        </w:rPr>
        <w:t> </w:t>
      </w:r>
      <w:r>
        <w:rPr>
          <w:sz w:val="20"/>
        </w:rPr>
        <w:t>Fiscal</w:t>
      </w:r>
      <w:r>
        <w:rPr>
          <w:spacing w:val="-6"/>
          <w:sz w:val="20"/>
        </w:rPr>
        <w:t> </w:t>
      </w:r>
      <w:r>
        <w:rPr>
          <w:sz w:val="20"/>
        </w:rPr>
        <w:t>entrarán</w:t>
      </w:r>
      <w:r>
        <w:rPr>
          <w:spacing w:val="-4"/>
          <w:sz w:val="20"/>
        </w:rPr>
        <w:t> </w:t>
      </w:r>
      <w:r>
        <w:rPr>
          <w:sz w:val="20"/>
        </w:rPr>
        <w:t>en</w:t>
      </w:r>
      <w:r>
        <w:rPr>
          <w:spacing w:val="-4"/>
          <w:sz w:val="20"/>
        </w:rPr>
        <w:t> </w:t>
      </w:r>
      <w:r>
        <w:rPr>
          <w:sz w:val="20"/>
        </w:rPr>
        <w:t>vigor</w:t>
      </w:r>
      <w:r>
        <w:rPr>
          <w:spacing w:val="-5"/>
          <w:sz w:val="20"/>
        </w:rPr>
        <w:t> </w:t>
      </w:r>
      <w:r>
        <w:rPr>
          <w:sz w:val="20"/>
        </w:rPr>
        <w:t>el</w:t>
      </w:r>
      <w:r>
        <w:rPr>
          <w:spacing w:val="-6"/>
          <w:sz w:val="20"/>
        </w:rPr>
        <w:t> </w:t>
      </w:r>
      <w:r>
        <w:rPr>
          <w:sz w:val="20"/>
        </w:rPr>
        <w:t>1</w:t>
      </w:r>
      <w:r>
        <w:rPr>
          <w:spacing w:val="-4"/>
          <w:sz w:val="20"/>
        </w:rPr>
        <w:t> </w:t>
      </w:r>
      <w:r>
        <w:rPr>
          <w:sz w:val="20"/>
        </w:rPr>
        <w:t>de</w:t>
      </w:r>
      <w:r>
        <w:rPr>
          <w:spacing w:val="4"/>
          <w:sz w:val="20"/>
        </w:rPr>
        <w:t> </w:t>
      </w:r>
      <w:r>
        <w:rPr>
          <w:sz w:val="20"/>
        </w:rPr>
        <w:t>enero</w:t>
      </w:r>
      <w:r>
        <w:rPr>
          <w:spacing w:val="-4"/>
          <w:sz w:val="20"/>
        </w:rPr>
        <w:t> </w:t>
      </w:r>
      <w:r>
        <w:rPr>
          <w:sz w:val="20"/>
        </w:rPr>
        <w:t>de</w:t>
      </w:r>
      <w:r>
        <w:rPr>
          <w:spacing w:val="-4"/>
          <w:sz w:val="20"/>
        </w:rPr>
        <w:t> </w:t>
      </w:r>
      <w:r>
        <w:rPr>
          <w:spacing w:val="-2"/>
          <w:sz w:val="20"/>
        </w:rPr>
        <w:t>2015;</w:t>
      </w:r>
    </w:p>
    <w:p>
      <w:pPr>
        <w:pStyle w:val="BodyText"/>
        <w:spacing w:before="1"/>
      </w:pPr>
    </w:p>
    <w:p>
      <w:pPr>
        <w:pStyle w:val="ListParagraph"/>
        <w:numPr>
          <w:ilvl w:val="0"/>
          <w:numId w:val="23"/>
        </w:numPr>
        <w:tabs>
          <w:tab w:pos="1006" w:val="left" w:leader="none"/>
          <w:tab w:pos="1009" w:val="left" w:leader="none"/>
        </w:tabs>
        <w:spacing w:line="240" w:lineRule="auto" w:before="0" w:after="0"/>
        <w:ind w:left="1009" w:right="143" w:hanging="720"/>
        <w:jc w:val="both"/>
        <w:rPr>
          <w:sz w:val="20"/>
        </w:rPr>
      </w:pPr>
      <w:r>
        <w:rPr>
          <w:sz w:val="20"/>
        </w:rPr>
        <w:t>Durante los ejercicios 2015 a 2018, la recaudación federal participable que provenga de los ingresos petroleros del Gobierno Federal a que se refiere el artículo 2, fracción XXX Bis, de la Ley Federal de Presupuesto y Responsabilidad Hacendaria, así como de los ingresos excedentes a que se refiere el tercer párrafo del artículo 93 de la misma ley, estará integrada por los ingresos que resulten de los derechos y de los contratos para la exploración y extracción de hidrocarburos, a que se refiere la Ley de Ingresos sobre Hidrocarburos, que se determinen conforme a las proporciones previstas en la Ley de Ingresos de la Federación del año de que se trate.</w:t>
      </w:r>
    </w:p>
    <w:p>
      <w:pPr>
        <w:pStyle w:val="BodyText"/>
        <w:spacing w:before="2"/>
      </w:pPr>
    </w:p>
    <w:p>
      <w:pPr>
        <w:pStyle w:val="BodyText"/>
        <w:ind w:left="1009"/>
      </w:pPr>
      <w:r>
        <w:rPr/>
        <w:t>Para determinar la recaudación federal participable referida en el párrafo anterior, se deberá considerar lo siguiente:</w:t>
      </w:r>
    </w:p>
    <w:p>
      <w:pPr>
        <w:pStyle w:val="ListParagraph"/>
        <w:numPr>
          <w:ilvl w:val="1"/>
          <w:numId w:val="23"/>
        </w:numPr>
        <w:tabs>
          <w:tab w:pos="1439" w:val="left" w:leader="none"/>
          <w:tab w:pos="1441" w:val="left" w:leader="none"/>
        </w:tabs>
        <w:spacing w:line="240" w:lineRule="auto" w:before="229" w:after="0"/>
        <w:ind w:left="1441" w:right="142" w:hanging="432"/>
        <w:jc w:val="both"/>
        <w:rPr>
          <w:sz w:val="20"/>
        </w:rPr>
      </w:pPr>
      <w:r>
        <w:rPr>
          <w:sz w:val="20"/>
        </w:rPr>
        <w:t>Tratándose</w:t>
      </w:r>
      <w:r>
        <w:rPr>
          <w:spacing w:val="-1"/>
          <w:sz w:val="20"/>
        </w:rPr>
        <w:t> </w:t>
      </w:r>
      <w:r>
        <w:rPr>
          <w:sz w:val="20"/>
        </w:rPr>
        <w:t>de</w:t>
      </w:r>
      <w:r>
        <w:rPr>
          <w:spacing w:val="-1"/>
          <w:sz w:val="20"/>
        </w:rPr>
        <w:t> </w:t>
      </w:r>
      <w:r>
        <w:rPr>
          <w:sz w:val="20"/>
        </w:rPr>
        <w:t>la</w:t>
      </w:r>
      <w:r>
        <w:rPr>
          <w:spacing w:val="-1"/>
          <w:sz w:val="20"/>
        </w:rPr>
        <w:t> </w:t>
      </w:r>
      <w:r>
        <w:rPr>
          <w:sz w:val="20"/>
        </w:rPr>
        <w:t>proporción</w:t>
      </w:r>
      <w:r>
        <w:rPr>
          <w:spacing w:val="-3"/>
          <w:sz w:val="20"/>
        </w:rPr>
        <w:t> </w:t>
      </w:r>
      <w:r>
        <w:rPr>
          <w:sz w:val="20"/>
        </w:rPr>
        <w:t>de</w:t>
      </w:r>
      <w:r>
        <w:rPr>
          <w:spacing w:val="-1"/>
          <w:sz w:val="20"/>
        </w:rPr>
        <w:t> </w:t>
      </w:r>
      <w:r>
        <w:rPr>
          <w:sz w:val="20"/>
        </w:rPr>
        <w:t>ingresos</w:t>
      </w:r>
      <w:r>
        <w:rPr>
          <w:spacing w:val="-2"/>
          <w:sz w:val="20"/>
        </w:rPr>
        <w:t> </w:t>
      </w:r>
      <w:r>
        <w:rPr>
          <w:sz w:val="20"/>
        </w:rPr>
        <w:t>por</w:t>
      </w:r>
      <w:r>
        <w:rPr>
          <w:spacing w:val="-3"/>
          <w:sz w:val="20"/>
        </w:rPr>
        <w:t> </w:t>
      </w:r>
      <w:r>
        <w:rPr>
          <w:sz w:val="20"/>
        </w:rPr>
        <w:t>derechos a</w:t>
      </w:r>
      <w:r>
        <w:rPr>
          <w:spacing w:val="-1"/>
          <w:sz w:val="20"/>
        </w:rPr>
        <w:t> </w:t>
      </w:r>
      <w:r>
        <w:rPr>
          <w:sz w:val="20"/>
        </w:rPr>
        <w:t>que</w:t>
      </w:r>
      <w:r>
        <w:rPr>
          <w:spacing w:val="-3"/>
          <w:sz w:val="20"/>
        </w:rPr>
        <w:t> </w:t>
      </w:r>
      <w:r>
        <w:rPr>
          <w:sz w:val="20"/>
        </w:rPr>
        <w:t>se</w:t>
      </w:r>
      <w:r>
        <w:rPr>
          <w:spacing w:val="-1"/>
          <w:sz w:val="20"/>
        </w:rPr>
        <w:t> </w:t>
      </w:r>
      <w:r>
        <w:rPr>
          <w:sz w:val="20"/>
        </w:rPr>
        <w:t>refiere la</w:t>
      </w:r>
      <w:r>
        <w:rPr>
          <w:spacing w:val="-1"/>
          <w:sz w:val="20"/>
        </w:rPr>
        <w:t> </w:t>
      </w:r>
      <w:r>
        <w:rPr>
          <w:sz w:val="20"/>
        </w:rPr>
        <w:t>Ley</w:t>
      </w:r>
      <w:r>
        <w:rPr>
          <w:spacing w:val="-4"/>
          <w:sz w:val="20"/>
        </w:rPr>
        <w:t> </w:t>
      </w:r>
      <w:r>
        <w:rPr>
          <w:sz w:val="20"/>
        </w:rPr>
        <w:t>de</w:t>
      </w:r>
      <w:r>
        <w:rPr>
          <w:spacing w:val="-1"/>
          <w:sz w:val="20"/>
        </w:rPr>
        <w:t> </w:t>
      </w:r>
      <w:r>
        <w:rPr>
          <w:sz w:val="20"/>
        </w:rPr>
        <w:t>Ingresos sobre Hidrocarburos, en lugar de aplicar el porcentaje establecido en el párrafo tercero del artículo 2o. de la Ley de Coordinación Fiscal, para determinar los ingresos participables, durante los ejercicios fiscales 2015 al 2018 se aplicarán los siguientes:</w:t>
      </w:r>
    </w:p>
    <w:p>
      <w:pPr>
        <w:pStyle w:val="BodyText"/>
        <w:spacing w:before="2"/>
      </w:pPr>
    </w:p>
    <w:tbl>
      <w:tblPr>
        <w:tblW w:w="0" w:type="auto"/>
        <w:jc w:val="left"/>
        <w:tblInd w:w="29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56"/>
        <w:gridCol w:w="1656"/>
      </w:tblGrid>
      <w:tr>
        <w:trPr>
          <w:trHeight w:val="229" w:hRule="atLeast"/>
        </w:trPr>
        <w:tc>
          <w:tcPr>
            <w:tcW w:w="1856" w:type="dxa"/>
          </w:tcPr>
          <w:p>
            <w:pPr>
              <w:pStyle w:val="TableParagraph"/>
              <w:ind w:left="6" w:right="2"/>
              <w:rPr>
                <w:sz w:val="20"/>
              </w:rPr>
            </w:pPr>
            <w:r>
              <w:rPr>
                <w:sz w:val="20"/>
              </w:rPr>
              <w:t>Ejercicio</w:t>
            </w:r>
            <w:r>
              <w:rPr>
                <w:spacing w:val="-11"/>
                <w:sz w:val="20"/>
              </w:rPr>
              <w:t> </w:t>
            </w:r>
            <w:r>
              <w:rPr>
                <w:spacing w:val="-2"/>
                <w:sz w:val="20"/>
              </w:rPr>
              <w:t>Fiscal</w:t>
            </w:r>
          </w:p>
        </w:tc>
        <w:tc>
          <w:tcPr>
            <w:tcW w:w="1656" w:type="dxa"/>
          </w:tcPr>
          <w:p>
            <w:pPr>
              <w:pStyle w:val="TableParagraph"/>
              <w:rPr>
                <w:sz w:val="20"/>
              </w:rPr>
            </w:pPr>
            <w:r>
              <w:rPr>
                <w:spacing w:val="-2"/>
                <w:sz w:val="20"/>
              </w:rPr>
              <w:t>Porcentaje</w:t>
            </w:r>
          </w:p>
        </w:tc>
      </w:tr>
      <w:tr>
        <w:trPr>
          <w:trHeight w:val="229" w:hRule="atLeast"/>
        </w:trPr>
        <w:tc>
          <w:tcPr>
            <w:tcW w:w="1856" w:type="dxa"/>
          </w:tcPr>
          <w:p>
            <w:pPr>
              <w:pStyle w:val="TableParagraph"/>
              <w:ind w:left="6"/>
              <w:rPr>
                <w:sz w:val="20"/>
              </w:rPr>
            </w:pPr>
            <w:r>
              <w:rPr>
                <w:spacing w:val="-4"/>
                <w:sz w:val="20"/>
              </w:rPr>
              <w:t>2015</w:t>
            </w:r>
          </w:p>
        </w:tc>
        <w:tc>
          <w:tcPr>
            <w:tcW w:w="1656" w:type="dxa"/>
          </w:tcPr>
          <w:p>
            <w:pPr>
              <w:pStyle w:val="TableParagraph"/>
              <w:ind w:right="5"/>
              <w:rPr>
                <w:sz w:val="20"/>
              </w:rPr>
            </w:pPr>
            <w:r>
              <w:rPr>
                <w:spacing w:val="-2"/>
                <w:sz w:val="20"/>
              </w:rPr>
              <w:t>73.00%</w:t>
            </w:r>
          </w:p>
        </w:tc>
      </w:tr>
      <w:tr>
        <w:trPr>
          <w:trHeight w:val="229" w:hRule="atLeast"/>
        </w:trPr>
        <w:tc>
          <w:tcPr>
            <w:tcW w:w="1856" w:type="dxa"/>
          </w:tcPr>
          <w:p>
            <w:pPr>
              <w:pStyle w:val="TableParagraph"/>
              <w:ind w:left="6"/>
              <w:rPr>
                <w:sz w:val="20"/>
              </w:rPr>
            </w:pPr>
            <w:r>
              <w:rPr>
                <w:spacing w:val="-4"/>
                <w:sz w:val="20"/>
              </w:rPr>
              <w:t>2016</w:t>
            </w:r>
          </w:p>
        </w:tc>
        <w:tc>
          <w:tcPr>
            <w:tcW w:w="1656" w:type="dxa"/>
          </w:tcPr>
          <w:p>
            <w:pPr>
              <w:pStyle w:val="TableParagraph"/>
              <w:ind w:right="5"/>
              <w:rPr>
                <w:sz w:val="20"/>
              </w:rPr>
            </w:pPr>
            <w:r>
              <w:rPr>
                <w:spacing w:val="-2"/>
                <w:sz w:val="20"/>
              </w:rPr>
              <w:t>74.82%</w:t>
            </w:r>
          </w:p>
        </w:tc>
      </w:tr>
      <w:tr>
        <w:trPr>
          <w:trHeight w:val="230" w:hRule="atLeast"/>
        </w:trPr>
        <w:tc>
          <w:tcPr>
            <w:tcW w:w="1856" w:type="dxa"/>
          </w:tcPr>
          <w:p>
            <w:pPr>
              <w:pStyle w:val="TableParagraph"/>
              <w:ind w:left="6"/>
              <w:rPr>
                <w:sz w:val="20"/>
              </w:rPr>
            </w:pPr>
            <w:r>
              <w:rPr>
                <w:spacing w:val="-4"/>
                <w:sz w:val="20"/>
              </w:rPr>
              <w:t>2017</w:t>
            </w:r>
          </w:p>
        </w:tc>
        <w:tc>
          <w:tcPr>
            <w:tcW w:w="1656" w:type="dxa"/>
          </w:tcPr>
          <w:p>
            <w:pPr>
              <w:pStyle w:val="TableParagraph"/>
              <w:ind w:right="5"/>
              <w:rPr>
                <w:sz w:val="20"/>
              </w:rPr>
            </w:pPr>
            <w:r>
              <w:rPr>
                <w:spacing w:val="-2"/>
                <w:sz w:val="20"/>
              </w:rPr>
              <w:t>76.65%</w:t>
            </w:r>
          </w:p>
        </w:tc>
      </w:tr>
      <w:tr>
        <w:trPr>
          <w:trHeight w:val="232" w:hRule="atLeast"/>
        </w:trPr>
        <w:tc>
          <w:tcPr>
            <w:tcW w:w="1856" w:type="dxa"/>
          </w:tcPr>
          <w:p>
            <w:pPr>
              <w:pStyle w:val="TableParagraph"/>
              <w:spacing w:line="212" w:lineRule="exact"/>
              <w:ind w:left="6"/>
              <w:rPr>
                <w:sz w:val="20"/>
              </w:rPr>
            </w:pPr>
            <w:r>
              <w:rPr>
                <w:spacing w:val="-4"/>
                <w:sz w:val="20"/>
              </w:rPr>
              <w:t>2018</w:t>
            </w:r>
          </w:p>
        </w:tc>
        <w:tc>
          <w:tcPr>
            <w:tcW w:w="1656" w:type="dxa"/>
          </w:tcPr>
          <w:p>
            <w:pPr>
              <w:pStyle w:val="TableParagraph"/>
              <w:spacing w:line="212" w:lineRule="exact"/>
              <w:ind w:right="5"/>
              <w:rPr>
                <w:sz w:val="20"/>
              </w:rPr>
            </w:pPr>
            <w:r>
              <w:rPr>
                <w:spacing w:val="-2"/>
                <w:sz w:val="20"/>
              </w:rPr>
              <w:t>78.47%</w:t>
            </w:r>
          </w:p>
        </w:tc>
      </w:tr>
    </w:tbl>
    <w:p>
      <w:pPr>
        <w:pStyle w:val="ListParagraph"/>
        <w:numPr>
          <w:ilvl w:val="1"/>
          <w:numId w:val="23"/>
        </w:numPr>
        <w:tabs>
          <w:tab w:pos="1441" w:val="left" w:leader="none"/>
        </w:tabs>
        <w:spacing w:line="242" w:lineRule="auto" w:before="227" w:after="0"/>
        <w:ind w:left="1441" w:right="141" w:hanging="432"/>
        <w:jc w:val="both"/>
        <w:rPr>
          <w:sz w:val="20"/>
        </w:rPr>
      </w:pPr>
      <w:r>
        <w:rPr>
          <w:sz w:val="20"/>
        </w:rPr>
        <w:t>Tratándose</w:t>
      </w:r>
      <w:r>
        <w:rPr>
          <w:spacing w:val="-3"/>
          <w:sz w:val="20"/>
        </w:rPr>
        <w:t> </w:t>
      </w:r>
      <w:r>
        <w:rPr>
          <w:sz w:val="20"/>
        </w:rPr>
        <w:t>de</w:t>
      </w:r>
      <w:r>
        <w:rPr>
          <w:spacing w:val="-3"/>
          <w:sz w:val="20"/>
        </w:rPr>
        <w:t> </w:t>
      </w:r>
      <w:r>
        <w:rPr>
          <w:sz w:val="20"/>
        </w:rPr>
        <w:t>la</w:t>
      </w:r>
      <w:r>
        <w:rPr>
          <w:spacing w:val="-2"/>
          <w:sz w:val="20"/>
        </w:rPr>
        <w:t> </w:t>
      </w:r>
      <w:r>
        <w:rPr>
          <w:sz w:val="20"/>
        </w:rPr>
        <w:t>proporción</w:t>
      </w:r>
      <w:r>
        <w:rPr>
          <w:spacing w:val="-3"/>
          <w:sz w:val="20"/>
        </w:rPr>
        <w:t> </w:t>
      </w:r>
      <w:r>
        <w:rPr>
          <w:sz w:val="20"/>
        </w:rPr>
        <w:t>de</w:t>
      </w:r>
      <w:r>
        <w:rPr>
          <w:spacing w:val="-2"/>
          <w:sz w:val="20"/>
        </w:rPr>
        <w:t> </w:t>
      </w:r>
      <w:r>
        <w:rPr>
          <w:sz w:val="20"/>
        </w:rPr>
        <w:t>ingresos</w:t>
      </w:r>
      <w:r>
        <w:rPr>
          <w:spacing w:val="-3"/>
          <w:sz w:val="20"/>
        </w:rPr>
        <w:t> </w:t>
      </w:r>
      <w:r>
        <w:rPr>
          <w:sz w:val="20"/>
        </w:rPr>
        <w:t>por</w:t>
      </w:r>
      <w:r>
        <w:rPr>
          <w:spacing w:val="-3"/>
          <w:sz w:val="20"/>
        </w:rPr>
        <w:t> </w:t>
      </w:r>
      <w:r>
        <w:rPr>
          <w:sz w:val="20"/>
        </w:rPr>
        <w:t>contratos para</w:t>
      </w:r>
      <w:r>
        <w:rPr>
          <w:spacing w:val="-2"/>
          <w:sz w:val="20"/>
        </w:rPr>
        <w:t> </w:t>
      </w:r>
      <w:r>
        <w:rPr>
          <w:sz w:val="20"/>
        </w:rPr>
        <w:t>la</w:t>
      </w:r>
      <w:r>
        <w:rPr>
          <w:spacing w:val="-2"/>
          <w:sz w:val="20"/>
        </w:rPr>
        <w:t> </w:t>
      </w:r>
      <w:r>
        <w:rPr>
          <w:sz w:val="20"/>
        </w:rPr>
        <w:t>exploración y</w:t>
      </w:r>
      <w:r>
        <w:rPr>
          <w:spacing w:val="-4"/>
          <w:sz w:val="20"/>
        </w:rPr>
        <w:t> </w:t>
      </w:r>
      <w:r>
        <w:rPr>
          <w:sz w:val="20"/>
        </w:rPr>
        <w:t>extracción</w:t>
      </w:r>
      <w:r>
        <w:rPr>
          <w:spacing w:val="-4"/>
          <w:sz w:val="20"/>
        </w:rPr>
        <w:t> </w:t>
      </w:r>
      <w:r>
        <w:rPr>
          <w:sz w:val="20"/>
        </w:rPr>
        <w:t>de hidrocarburos a que se refiere la Ley de Ingresos sobre Hidrocarburos, se estará a lo dispuesto por el párrafo tercero del artículo 2o. de la Ley de Coordinación Fiscal.</w:t>
      </w:r>
    </w:p>
    <w:p>
      <w:pPr>
        <w:spacing w:before="227"/>
        <w:ind w:left="289" w:right="0" w:firstLine="0"/>
        <w:jc w:val="left"/>
        <w:rPr>
          <w:sz w:val="20"/>
        </w:rPr>
      </w:pPr>
      <w:r>
        <w:rPr>
          <w:spacing w:val="-5"/>
          <w:sz w:val="20"/>
        </w:rPr>
        <w:t>………</w:t>
      </w:r>
    </w:p>
    <w:p>
      <w:pPr>
        <w:pStyle w:val="Heading1"/>
        <w:spacing w:before="225"/>
      </w:pPr>
      <w:r>
        <w:rPr>
          <w:spacing w:val="-2"/>
        </w:rPr>
        <w:t>TRANSITORIOS</w:t>
      </w:r>
    </w:p>
    <w:p>
      <w:pPr>
        <w:pStyle w:val="BodyText"/>
        <w:spacing w:before="1"/>
        <w:rPr>
          <w:rFonts w:ascii="Arial"/>
          <w:b/>
        </w:rPr>
      </w:pPr>
    </w:p>
    <w:p>
      <w:pPr>
        <w:pStyle w:val="BodyText"/>
        <w:spacing w:line="242" w:lineRule="auto"/>
        <w:ind w:left="1" w:right="153" w:firstLine="288"/>
      </w:pPr>
      <w:r>
        <w:rPr>
          <w:rFonts w:ascii="Arial" w:hAnsi="Arial"/>
          <w:b/>
        </w:rPr>
        <w:t>Primero. </w:t>
      </w:r>
      <w:r>
        <w:rPr/>
        <w:t>El presente Decreto entrará en vigor al día siguiente de su publicación en el Diario Oficial de la Federación.</w:t>
      </w:r>
    </w:p>
    <w:p>
      <w:pPr>
        <w:pStyle w:val="BodyText"/>
        <w:spacing w:after="0" w:line="242" w:lineRule="auto"/>
        <w:sectPr>
          <w:pgSz w:w="12250" w:h="15850"/>
          <w:pgMar w:header="724" w:footer="712" w:top="1880" w:bottom="900" w:left="1417" w:right="1275"/>
        </w:sectPr>
      </w:pPr>
    </w:p>
    <w:p>
      <w:pPr>
        <w:pStyle w:val="BodyText"/>
      </w:pPr>
    </w:p>
    <w:p>
      <w:pPr>
        <w:pStyle w:val="BodyText"/>
        <w:spacing w:before="65"/>
      </w:pPr>
    </w:p>
    <w:p>
      <w:pPr>
        <w:pStyle w:val="BodyText"/>
        <w:ind w:left="289"/>
      </w:pPr>
      <w:r>
        <w:rPr>
          <w:rFonts w:ascii="Arial" w:hAnsi="Arial"/>
          <w:b/>
        </w:rPr>
        <w:t>Segundo.</w:t>
      </w:r>
      <w:r>
        <w:rPr>
          <w:rFonts w:ascii="Arial" w:hAnsi="Arial"/>
          <w:b/>
          <w:spacing w:val="-5"/>
        </w:rPr>
        <w:t> </w:t>
      </w:r>
      <w:r>
        <w:rPr/>
        <w:t>Durante</w:t>
      </w:r>
      <w:r>
        <w:rPr>
          <w:spacing w:val="-5"/>
        </w:rPr>
        <w:t> </w:t>
      </w:r>
      <w:r>
        <w:rPr/>
        <w:t>los</w:t>
      </w:r>
      <w:r>
        <w:rPr>
          <w:spacing w:val="-5"/>
        </w:rPr>
        <w:t> </w:t>
      </w:r>
      <w:r>
        <w:rPr/>
        <w:t>ejercicios</w:t>
      </w:r>
      <w:r>
        <w:rPr>
          <w:spacing w:val="-5"/>
        </w:rPr>
        <w:t> </w:t>
      </w:r>
      <w:r>
        <w:rPr/>
        <w:t>2015,</w:t>
      </w:r>
      <w:r>
        <w:rPr>
          <w:spacing w:val="-4"/>
        </w:rPr>
        <w:t> </w:t>
      </w:r>
      <w:r>
        <w:rPr/>
        <w:t>2016,</w:t>
      </w:r>
      <w:r>
        <w:rPr>
          <w:spacing w:val="-6"/>
        </w:rPr>
        <w:t> </w:t>
      </w:r>
      <w:r>
        <w:rPr/>
        <w:t>2017</w:t>
      </w:r>
      <w:r>
        <w:rPr>
          <w:spacing w:val="-2"/>
        </w:rPr>
        <w:t> </w:t>
      </w:r>
      <w:r>
        <w:rPr/>
        <w:t>y</w:t>
      </w:r>
      <w:r>
        <w:rPr>
          <w:spacing w:val="-7"/>
        </w:rPr>
        <w:t> </w:t>
      </w:r>
      <w:r>
        <w:rPr/>
        <w:t>2018</w:t>
      </w:r>
      <w:r>
        <w:rPr>
          <w:spacing w:val="-5"/>
        </w:rPr>
        <w:t> </w:t>
      </w:r>
      <w:r>
        <w:rPr/>
        <w:t>se</w:t>
      </w:r>
      <w:r>
        <w:rPr>
          <w:spacing w:val="-4"/>
        </w:rPr>
        <w:t> </w:t>
      </w:r>
      <w:r>
        <w:rPr/>
        <w:t>está</w:t>
      </w:r>
      <w:r>
        <w:rPr>
          <w:spacing w:val="-7"/>
        </w:rPr>
        <w:t> </w:t>
      </w:r>
      <w:r>
        <w:rPr/>
        <w:t>a</w:t>
      </w:r>
      <w:r>
        <w:rPr>
          <w:spacing w:val="-4"/>
        </w:rPr>
        <w:t> </w:t>
      </w:r>
      <w:r>
        <w:rPr/>
        <w:t>lo</w:t>
      </w:r>
      <w:r>
        <w:rPr>
          <w:spacing w:val="-4"/>
        </w:rPr>
        <w:t> </w:t>
      </w:r>
      <w:r>
        <w:rPr>
          <w:spacing w:val="-2"/>
        </w:rPr>
        <w:t>siguiente:</w:t>
      </w:r>
    </w:p>
    <w:p>
      <w:pPr>
        <w:pStyle w:val="ListParagraph"/>
        <w:numPr>
          <w:ilvl w:val="0"/>
          <w:numId w:val="24"/>
        </w:numPr>
        <w:tabs>
          <w:tab w:pos="1173" w:val="left" w:leader="none"/>
        </w:tabs>
        <w:spacing w:line="240" w:lineRule="auto" w:before="229" w:after="0"/>
        <w:ind w:left="1173" w:right="139" w:hanging="812"/>
        <w:jc w:val="both"/>
        <w:rPr>
          <w:sz w:val="20"/>
        </w:rPr>
      </w:pPr>
      <w:r>
        <w:rPr>
          <w:sz w:val="20"/>
        </w:rPr>
        <w:t>Cuando los ingresos observados totales del Fondo Mexicano del Petróleo para la Estabilización y el Desarrollo en el ejercicio correspondiente sean superiores a los ingresos estimados para el mismo año de que se trate, en ambos casos descontando los pagos establecidos en la fracción I del artículo 16 de la Ley del Fondo Mexicano del Petróleo para la Estabilización y el Desarrollo y los rendimientos de la Reserva del Fondo, el Gobierno Federal entregará a las entidades federativas y municipios, con cargo al Presupuesto de Egresos de la Federación del siguiente ejercicio fiscal, una cantidad equivalente al monto que les correspondería como participaciones de considerar participable, en términos de la Ley de Ingresos del año de que se trate, el monto que resulte de descontar del excedente que se registre entre los ingresos observados y los ingresos estimados, la diferencia existente entre el monto observado correspondiente a la transferencia del Fondo Mexicano del Petróleo a que se refiere el artículo 93 de la Ley Federal de Presupuesto y Responsabilidad Hacendaria y la estimación por el mismo concepto contenida en la Ley de Ingresos de la Federación del año de que se trate.</w:t>
      </w:r>
    </w:p>
    <w:p>
      <w:pPr>
        <w:pStyle w:val="BodyText"/>
        <w:spacing w:before="2"/>
      </w:pPr>
    </w:p>
    <w:p>
      <w:pPr>
        <w:pStyle w:val="ListParagraph"/>
        <w:numPr>
          <w:ilvl w:val="0"/>
          <w:numId w:val="24"/>
        </w:numPr>
        <w:tabs>
          <w:tab w:pos="1173" w:val="left" w:leader="none"/>
        </w:tabs>
        <w:spacing w:line="240" w:lineRule="auto" w:before="0" w:after="0"/>
        <w:ind w:left="1173" w:right="140" w:hanging="812"/>
        <w:jc w:val="both"/>
        <w:rPr>
          <w:sz w:val="20"/>
        </w:rPr>
      </w:pPr>
      <w:r>
        <w:rPr>
          <w:sz w:val="20"/>
        </w:rPr>
        <w:t>Cuando los</w:t>
      </w:r>
      <w:r>
        <w:rPr>
          <w:spacing w:val="-1"/>
          <w:sz w:val="20"/>
        </w:rPr>
        <w:t> </w:t>
      </w:r>
      <w:r>
        <w:rPr>
          <w:sz w:val="20"/>
        </w:rPr>
        <w:t>recursos</w:t>
      </w:r>
      <w:r>
        <w:rPr>
          <w:spacing w:val="-1"/>
          <w:sz w:val="20"/>
        </w:rPr>
        <w:t> </w:t>
      </w:r>
      <w:r>
        <w:rPr>
          <w:sz w:val="20"/>
        </w:rPr>
        <w:t>recibidos</w:t>
      </w:r>
      <w:r>
        <w:rPr>
          <w:spacing w:val="-1"/>
          <w:sz w:val="20"/>
        </w:rPr>
        <w:t> </w:t>
      </w:r>
      <w:r>
        <w:rPr>
          <w:sz w:val="20"/>
        </w:rPr>
        <w:t>por las</w:t>
      </w:r>
      <w:r>
        <w:rPr>
          <w:spacing w:val="-1"/>
          <w:sz w:val="20"/>
        </w:rPr>
        <w:t> </w:t>
      </w:r>
      <w:r>
        <w:rPr>
          <w:sz w:val="20"/>
        </w:rPr>
        <w:t>entidades</w:t>
      </w:r>
      <w:r>
        <w:rPr>
          <w:spacing w:val="-1"/>
          <w:sz w:val="20"/>
        </w:rPr>
        <w:t> </w:t>
      </w:r>
      <w:r>
        <w:rPr>
          <w:sz w:val="20"/>
        </w:rPr>
        <w:t>federativas y</w:t>
      </w:r>
      <w:r>
        <w:rPr>
          <w:spacing w:val="-5"/>
          <w:sz w:val="20"/>
        </w:rPr>
        <w:t> </w:t>
      </w:r>
      <w:r>
        <w:rPr>
          <w:sz w:val="20"/>
        </w:rPr>
        <w:t>los</w:t>
      </w:r>
      <w:r>
        <w:rPr>
          <w:spacing w:val="-1"/>
          <w:sz w:val="20"/>
        </w:rPr>
        <w:t> </w:t>
      </w:r>
      <w:r>
        <w:rPr>
          <w:sz w:val="20"/>
        </w:rPr>
        <w:t>municipios</w:t>
      </w:r>
      <w:r>
        <w:rPr>
          <w:spacing w:val="-1"/>
          <w:sz w:val="20"/>
        </w:rPr>
        <w:t> </w:t>
      </w:r>
      <w:r>
        <w:rPr>
          <w:sz w:val="20"/>
        </w:rPr>
        <w:t>procedentes</w:t>
      </w:r>
      <w:r>
        <w:rPr>
          <w:spacing w:val="-1"/>
          <w:sz w:val="20"/>
        </w:rPr>
        <w:t> </w:t>
      </w:r>
      <w:r>
        <w:rPr>
          <w:sz w:val="20"/>
        </w:rPr>
        <w:t>de los ingresos que, en términos de este Decreto, se integran a la Recaudación Federal Participable conforme a lo dispuesto en el párrafo tercero del artículo 2o. de la Ley de Coordinación Fiscal, sean menores a las que hubieran recibido de haber aplicado a las asignaciones vigentes en el año que corresponda, las disposiciones de la Ley Federal de Derechos y la Ley de Coordinación Fiscal vigentes hasta antes de la entrada en vigor de</w:t>
      </w:r>
      <w:r>
        <w:rPr>
          <w:spacing w:val="40"/>
          <w:sz w:val="20"/>
        </w:rPr>
        <w:t> </w:t>
      </w:r>
      <w:r>
        <w:rPr>
          <w:sz w:val="20"/>
        </w:rPr>
        <w:t>este Decreto, el Gobierno Federal entregará a las entidades federativas y los municipios,</w:t>
      </w:r>
      <w:r>
        <w:rPr>
          <w:spacing w:val="40"/>
          <w:sz w:val="20"/>
        </w:rPr>
        <w:t> </w:t>
      </w:r>
      <w:r>
        <w:rPr>
          <w:sz w:val="20"/>
        </w:rPr>
        <w:t>con cargo al Presupuesto de Egresos de la Federación del siguiente ejercicio fiscal, una cantidad equivalente a la diferencia entre el monto que les hubiera correspondido como participaciones conforme a las disposiciones citadas, y el monto efectivamente observado conforme a lo dispuesto en el párrafo tercero del artículo 2o. de la Ley de Coordinación </w:t>
      </w:r>
      <w:r>
        <w:rPr>
          <w:spacing w:val="-2"/>
          <w:sz w:val="20"/>
        </w:rPr>
        <w:t>Fiscal.</w:t>
      </w:r>
    </w:p>
    <w:p>
      <w:pPr>
        <w:pStyle w:val="BodyText"/>
        <w:spacing w:before="1"/>
      </w:pPr>
    </w:p>
    <w:p>
      <w:pPr>
        <w:pStyle w:val="BodyText"/>
        <w:ind w:left="1" w:right="141" w:firstLine="288"/>
        <w:jc w:val="both"/>
      </w:pPr>
      <w:r>
        <w:rPr/>
        <w:t>Los recursos que se entreguen a las entidades federativas y</w:t>
      </w:r>
      <w:r>
        <w:rPr>
          <w:spacing w:val="-3"/>
        </w:rPr>
        <w:t> </w:t>
      </w:r>
      <w:r>
        <w:rPr/>
        <w:t>municipios en</w:t>
      </w:r>
      <w:r>
        <w:rPr>
          <w:spacing w:val="-1"/>
        </w:rPr>
        <w:t> </w:t>
      </w:r>
      <w:r>
        <w:rPr/>
        <w:t>términos de</w:t>
      </w:r>
      <w:r>
        <w:rPr>
          <w:spacing w:val="-1"/>
        </w:rPr>
        <w:t> </w:t>
      </w:r>
      <w:r>
        <w:rPr/>
        <w:t>la fracción</w:t>
      </w:r>
      <w:r>
        <w:rPr>
          <w:spacing w:val="-1"/>
        </w:rPr>
        <w:t> </w:t>
      </w:r>
      <w:r>
        <w:rPr/>
        <w:t>I de este transitorio no podrán ser mayores a 11,800 millones de pesos en el ejercicio correspondiente. El Gobierno Federal realizará la entrega de los recursos que procedan conforme a las fracciones I y II anteriores a más tardar en el mes de febrero del ejercicio siguiente al que corresponda.</w:t>
      </w:r>
    </w:p>
    <w:p>
      <w:pPr>
        <w:pStyle w:val="BodyText"/>
      </w:pPr>
    </w:p>
    <w:p>
      <w:pPr>
        <w:spacing w:before="0"/>
        <w:ind w:left="1" w:right="141" w:firstLine="288"/>
        <w:jc w:val="both"/>
        <w:rPr>
          <w:rFonts w:ascii="Arial" w:hAnsi="Arial"/>
          <w:b/>
          <w:sz w:val="20"/>
        </w:rPr>
      </w:pPr>
      <w:r>
        <w:rPr>
          <w:sz w:val="20"/>
        </w:rPr>
        <w:t>México, D.F., a 5 de agosto de 2014.- Dip. </w:t>
      </w:r>
      <w:r>
        <w:rPr>
          <w:rFonts w:ascii="Arial" w:hAnsi="Arial"/>
          <w:b/>
          <w:sz w:val="20"/>
        </w:rPr>
        <w:t>José González Morfín</w:t>
      </w:r>
      <w:r>
        <w:rPr>
          <w:sz w:val="20"/>
        </w:rPr>
        <w:t>, Presidente.- Sen. </w:t>
      </w:r>
      <w:r>
        <w:rPr>
          <w:rFonts w:ascii="Arial" w:hAnsi="Arial"/>
          <w:b/>
          <w:sz w:val="20"/>
        </w:rPr>
        <w:t>Raúl Cervantes Andrade</w:t>
      </w:r>
      <w:r>
        <w:rPr>
          <w:sz w:val="20"/>
        </w:rPr>
        <w:t>, Presidente.- Dip. </w:t>
      </w:r>
      <w:r>
        <w:rPr>
          <w:rFonts w:ascii="Arial" w:hAnsi="Arial"/>
          <w:b/>
          <w:sz w:val="20"/>
        </w:rPr>
        <w:t>Javier Orozco Gómez</w:t>
      </w:r>
      <w:r>
        <w:rPr>
          <w:sz w:val="20"/>
        </w:rPr>
        <w:t>, Secretario.- Sen. </w:t>
      </w:r>
      <w:r>
        <w:rPr>
          <w:rFonts w:ascii="Arial" w:hAnsi="Arial"/>
          <w:b/>
          <w:sz w:val="20"/>
        </w:rPr>
        <w:t>Rosa Adriana Díaz Lizama</w:t>
      </w:r>
      <w:r>
        <w:rPr>
          <w:sz w:val="20"/>
        </w:rPr>
        <w:t>, Secretaria.- Rúbricas.</w:t>
      </w:r>
      <w:r>
        <w:rPr>
          <w:rFonts w:ascii="Arial" w:hAnsi="Arial"/>
          <w:b/>
          <w:sz w:val="20"/>
        </w:rPr>
        <w:t>"</w:t>
      </w:r>
    </w:p>
    <w:p>
      <w:pPr>
        <w:pStyle w:val="BodyText"/>
        <w:spacing w:before="2"/>
        <w:rPr>
          <w:rFonts w:ascii="Arial"/>
          <w:b/>
        </w:rPr>
      </w:pPr>
    </w:p>
    <w:p>
      <w:pPr>
        <w:pStyle w:val="BodyText"/>
        <w:ind w:left="1"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once de agosto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1"/>
        <w:jc w:val="both"/>
      </w:pPr>
      <w:r>
        <w:rPr/>
        <w:t>DECRETO por el que se expide la Ley de Disciplina Financiera de las Entidades Federativas y los Municipios, y se reforman, adicionan y derogan diversas disposiciones de las leyes de Coordinación Fiscal, General de Deuda Pública y</w:t>
      </w:r>
      <w:r>
        <w:rPr>
          <w:spacing w:val="-1"/>
        </w:rPr>
        <w:t> </w:t>
      </w:r>
      <w:r>
        <w:rPr/>
        <w:t>General de Contabilidad </w:t>
      </w:r>
      <w:r>
        <w:rPr>
          <w:spacing w:val="-2"/>
        </w:rPr>
        <w:t>Gubernamental.</w:t>
      </w:r>
    </w:p>
    <w:p>
      <w:pPr>
        <w:spacing w:before="232"/>
        <w:ind w:left="1156" w:right="129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27</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2016</w:t>
      </w:r>
    </w:p>
    <w:p>
      <w:pPr>
        <w:pStyle w:val="BodyText"/>
        <w:spacing w:before="46"/>
        <w:rPr>
          <w:sz w:val="16"/>
        </w:rPr>
      </w:pPr>
    </w:p>
    <w:p>
      <w:pPr>
        <w:pStyle w:val="BodyText"/>
        <w:spacing w:line="242" w:lineRule="auto"/>
        <w:ind w:left="1" w:right="153" w:firstLine="288"/>
      </w:pPr>
      <w:r>
        <w:rPr>
          <w:rFonts w:ascii="Arial" w:hAnsi="Arial"/>
          <w:b/>
        </w:rPr>
        <w:t>ARTÍCULO SEGUNDO.- </w:t>
      </w:r>
      <w:r>
        <w:rPr/>
        <w:t>Se reforma el artículo 9o., y se adiciona la fracción V al artículo 10-A de la</w:t>
      </w:r>
      <w:r>
        <w:rPr>
          <w:spacing w:val="40"/>
        </w:rPr>
        <w:t> </w:t>
      </w:r>
      <w:r>
        <w:rPr/>
        <w:t>Ley de Coordinación Fiscal, para quedar como sigue:</w:t>
      </w:r>
    </w:p>
    <w:p>
      <w:pPr>
        <w:spacing w:before="227"/>
        <w:ind w:left="289" w:right="0" w:firstLine="0"/>
        <w:jc w:val="left"/>
        <w:rPr>
          <w:sz w:val="20"/>
        </w:rPr>
      </w:pPr>
      <w:r>
        <w:rPr>
          <w:spacing w:val="-4"/>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ind w:left="1" w:right="150" w:firstLine="288"/>
        <w:jc w:val="both"/>
      </w:pPr>
      <w:r>
        <w:rPr>
          <w:rFonts w:ascii="Arial" w:hAnsi="Arial"/>
          <w:b/>
        </w:rPr>
        <w:t>PRIMERO.- </w:t>
      </w:r>
      <w:r>
        <w:rPr/>
        <w:t>El presente Decreto entrará en vigor el día siguiente al de su publicación en el Diario Oficial de la Federación, salvo por lo previsto en los transitorios siguientes.</w:t>
      </w:r>
    </w:p>
    <w:p>
      <w:pPr>
        <w:pStyle w:val="BodyText"/>
        <w:spacing w:before="227"/>
        <w:ind w:left="289"/>
      </w:pPr>
      <w:r>
        <w:rPr>
          <w:rFonts w:ascii="Arial"/>
          <w:b/>
        </w:rPr>
        <w:t>SEGUNDO.-</w:t>
      </w:r>
      <w:r>
        <w:rPr>
          <w:rFonts w:ascii="Arial"/>
          <w:b/>
          <w:spacing w:val="-7"/>
        </w:rPr>
        <w:t> </w:t>
      </w:r>
      <w:r>
        <w:rPr/>
        <w:t>Se</w:t>
      </w:r>
      <w:r>
        <w:rPr>
          <w:spacing w:val="-6"/>
        </w:rPr>
        <w:t> </w:t>
      </w:r>
      <w:r>
        <w:rPr/>
        <w:t>derogan</w:t>
      </w:r>
      <w:r>
        <w:rPr>
          <w:spacing w:val="-6"/>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7"/>
        </w:rPr>
        <w:t> </w:t>
      </w:r>
      <w:r>
        <w:rPr/>
        <w:t>opongan</w:t>
      </w:r>
      <w:r>
        <w:rPr>
          <w:spacing w:val="-9"/>
        </w:rPr>
        <w:t> </w:t>
      </w:r>
      <w:r>
        <w:rPr/>
        <w:t>al</w:t>
      </w:r>
      <w:r>
        <w:rPr>
          <w:spacing w:val="-9"/>
        </w:rPr>
        <w:t> </w:t>
      </w:r>
      <w:r>
        <w:rPr/>
        <w:t>presente</w:t>
      </w:r>
      <w:r>
        <w:rPr>
          <w:spacing w:val="-6"/>
        </w:rPr>
        <w:t> </w:t>
      </w:r>
      <w:r>
        <w:rPr>
          <w:spacing w:val="-2"/>
        </w:rPr>
        <w:t>Decreto.</w:t>
      </w:r>
    </w:p>
    <w:p>
      <w:pPr>
        <w:pStyle w:val="BodyText"/>
        <w:spacing w:line="242" w:lineRule="auto" w:before="228"/>
        <w:ind w:left="1" w:right="142" w:firstLine="288"/>
        <w:jc w:val="both"/>
      </w:pPr>
      <w:r>
        <w:rPr>
          <w:rFonts w:ascii="Arial" w:hAnsi="Arial"/>
          <w:b/>
        </w:rPr>
        <w:t>TERCERO.- </w:t>
      </w:r>
      <w:r>
        <w:rPr/>
        <w:t>Las Entidades Federativas y, en su caso, los Municipios realizarán las reformas a las leyes, reglamentos y disposiciones administrativas que sean necesarias para dar cumplimiento a este Decreto, a más tardar a los 180 días naturales siguientes a la entrada en vigor del mismo.</w:t>
      </w:r>
    </w:p>
    <w:p>
      <w:pPr>
        <w:pStyle w:val="BodyText"/>
        <w:spacing w:before="225"/>
        <w:ind w:left="1" w:right="143" w:firstLine="288"/>
        <w:jc w:val="both"/>
      </w:pPr>
      <w:r>
        <w:rPr>
          <w:rFonts w:ascii="Arial" w:hAnsi="Arial"/>
          <w:b/>
        </w:rPr>
        <w:t>CUARTO.- </w:t>
      </w:r>
      <w:r>
        <w:rPr/>
        <w:t>Las disposiciones relacionadas con el equilibrio presupuestario y la responsabilidad hacendaria de las Entidades Federativas a que se refiere el Capítulo I del Título Segundo de la Ley de Disciplina Financiera de las Entidades Federativas y los Municipios, entrarán en vigor para efectos del ejercicio fiscal 2017, con las salvedades previstas en los transitorios Quinto al Noveno.</w:t>
      </w:r>
    </w:p>
    <w:p>
      <w:pPr>
        <w:pStyle w:val="BodyText"/>
      </w:pPr>
    </w:p>
    <w:p>
      <w:pPr>
        <w:pStyle w:val="BodyText"/>
        <w:ind w:left="1" w:right="143" w:firstLine="288"/>
        <w:jc w:val="both"/>
      </w:pPr>
      <w:r>
        <w:rPr>
          <w:rFonts w:ascii="Arial" w:hAnsi="Arial"/>
          <w:b/>
        </w:rPr>
        <w:t>QUINTO.- </w:t>
      </w:r>
      <w:r>
        <w:rPr/>
        <w:t>El porcentaje a que hace referencia el artículo 9 de la Ley de Disciplina Financiera de las Entidades Federativas y los Municipios, relativo al nivel de aportación al fideicomiso para realizar</w:t>
      </w:r>
      <w:r>
        <w:rPr>
          <w:spacing w:val="40"/>
        </w:rPr>
        <w:t> </w:t>
      </w:r>
      <w:r>
        <w:rPr/>
        <w:t>acciones preventivas o atender daños ocasionados por desastres naturales, corresponderá a un 2.5 por ciento para el año 2017, 5.0 por ciento para el año 2018, 7.5 por ciento para el año 2019 y, a partir del</w:t>
      </w:r>
      <w:r>
        <w:rPr>
          <w:spacing w:val="40"/>
        </w:rPr>
        <w:t> </w:t>
      </w:r>
      <w:r>
        <w:rPr/>
        <w:t>año 2020 se observará el porcentaje establecido en el artículo citado.</w:t>
      </w:r>
    </w:p>
    <w:p>
      <w:pPr>
        <w:pStyle w:val="BodyText"/>
      </w:pPr>
    </w:p>
    <w:p>
      <w:pPr>
        <w:pStyle w:val="BodyText"/>
        <w:ind w:left="1" w:right="142" w:firstLine="288"/>
        <w:jc w:val="both"/>
      </w:pPr>
      <w:r>
        <w:rPr>
          <w:rFonts w:ascii="Arial" w:hAnsi="Arial"/>
          <w:b/>
        </w:rPr>
        <w:t>SEXTO.- </w:t>
      </w:r>
      <w:r>
        <w:rPr/>
        <w:t>La</w:t>
      </w:r>
      <w:r>
        <w:rPr>
          <w:spacing w:val="-2"/>
        </w:rPr>
        <w:t> </w:t>
      </w:r>
      <w:r>
        <w:rPr/>
        <w:t>fracción</w:t>
      </w:r>
      <w:r>
        <w:rPr>
          <w:spacing w:val="-2"/>
        </w:rPr>
        <w:t> </w:t>
      </w:r>
      <w:r>
        <w:rPr/>
        <w:t>I</w:t>
      </w:r>
      <w:r>
        <w:rPr>
          <w:spacing w:val="-1"/>
        </w:rPr>
        <w:t> </w:t>
      </w:r>
      <w:r>
        <w:rPr/>
        <w:t>del</w:t>
      </w:r>
      <w:r>
        <w:rPr>
          <w:spacing w:val="-2"/>
        </w:rPr>
        <w:t> </w:t>
      </w:r>
      <w:r>
        <w:rPr/>
        <w:t>artículo</w:t>
      </w:r>
      <w:r>
        <w:rPr>
          <w:spacing w:val="-1"/>
        </w:rPr>
        <w:t> </w:t>
      </w:r>
      <w:r>
        <w:rPr/>
        <w:t>10 de</w:t>
      </w:r>
      <w:r>
        <w:rPr>
          <w:spacing w:val="-2"/>
        </w:rPr>
        <w:t> </w:t>
      </w:r>
      <w:r>
        <w:rPr/>
        <w:t>la Ley</w:t>
      </w:r>
      <w:r>
        <w:rPr>
          <w:spacing w:val="-4"/>
        </w:rPr>
        <w:t> </w:t>
      </w:r>
      <w:r>
        <w:rPr/>
        <w:t>de</w:t>
      </w:r>
      <w:r>
        <w:rPr>
          <w:spacing w:val="-2"/>
        </w:rPr>
        <w:t> </w:t>
      </w:r>
      <w:r>
        <w:rPr/>
        <w:t>Disciplina</w:t>
      </w:r>
      <w:r>
        <w:rPr>
          <w:spacing w:val="-1"/>
        </w:rPr>
        <w:t> </w:t>
      </w:r>
      <w:r>
        <w:rPr/>
        <w:t>Financiera de</w:t>
      </w:r>
      <w:r>
        <w:rPr>
          <w:spacing w:val="-2"/>
        </w:rPr>
        <w:t> </w:t>
      </w:r>
      <w:r>
        <w:rPr/>
        <w:t>las Entidades Federativas y los Municipios entrará en vigor para efectos del Presupuesto de Egresos correspondiente al ejercicio</w:t>
      </w:r>
      <w:r>
        <w:rPr>
          <w:spacing w:val="40"/>
        </w:rPr>
        <w:t> </w:t>
      </w:r>
      <w:r>
        <w:rPr/>
        <w:t>fiscal 2018.</w:t>
      </w:r>
    </w:p>
    <w:p>
      <w:pPr>
        <w:pStyle w:val="BodyText"/>
        <w:spacing w:before="2"/>
      </w:pPr>
    </w:p>
    <w:p>
      <w:pPr>
        <w:pStyle w:val="BodyText"/>
        <w:ind w:left="1" w:right="142" w:firstLine="288"/>
        <w:jc w:val="both"/>
      </w:pPr>
      <w:r>
        <w:rPr/>
        <w:t>Adicionalmente, los servicios personales asociados a seguridad pública y al personal médico, paramédico y afín, estarán exentos del cumplimiento de lo dispuesto en el artículo 10 de la Ley de Disciplina</w:t>
      </w:r>
      <w:r>
        <w:rPr>
          <w:spacing w:val="-1"/>
        </w:rPr>
        <w:t> </w:t>
      </w:r>
      <w:r>
        <w:rPr/>
        <w:t>Financiera de las Entidades Federativas y</w:t>
      </w:r>
      <w:r>
        <w:rPr>
          <w:spacing w:val="-2"/>
        </w:rPr>
        <w:t> </w:t>
      </w:r>
      <w:r>
        <w:rPr/>
        <w:t>los Municipios hasta el año 2020. En ningún</w:t>
      </w:r>
      <w:r>
        <w:rPr>
          <w:spacing w:val="-1"/>
        </w:rPr>
        <w:t> </w:t>
      </w:r>
      <w:r>
        <w:rPr/>
        <w:t>caso, la excepción transitoria deberá considerar personal administrativo.</w:t>
      </w:r>
    </w:p>
    <w:p>
      <w:pPr>
        <w:pStyle w:val="BodyText"/>
      </w:pPr>
    </w:p>
    <w:p>
      <w:pPr>
        <w:pStyle w:val="BodyText"/>
        <w:ind w:left="1" w:right="153" w:firstLine="288"/>
        <w:jc w:val="both"/>
      </w:pPr>
      <w:r>
        <w:rPr/>
        <w:t>Las nuevas leyes federales o</w:t>
      </w:r>
      <w:r>
        <w:rPr>
          <w:spacing w:val="-1"/>
        </w:rPr>
        <w:t> </w:t>
      </w:r>
      <w:r>
        <w:rPr/>
        <w:t>reformas a</w:t>
      </w:r>
      <w:r>
        <w:rPr>
          <w:spacing w:val="-1"/>
        </w:rPr>
        <w:t> </w:t>
      </w:r>
      <w:r>
        <w:rPr/>
        <w:t>las mismas,</w:t>
      </w:r>
      <w:r>
        <w:rPr>
          <w:spacing w:val="-1"/>
        </w:rPr>
        <w:t> </w:t>
      </w:r>
      <w:r>
        <w:rPr/>
        <w:t>a</w:t>
      </w:r>
      <w:r>
        <w:rPr>
          <w:spacing w:val="-1"/>
        </w:rPr>
        <w:t> </w:t>
      </w:r>
      <w:r>
        <w:rPr/>
        <w:t>que</w:t>
      </w:r>
      <w:r>
        <w:rPr>
          <w:spacing w:val="-1"/>
        </w:rPr>
        <w:t> </w:t>
      </w:r>
      <w:r>
        <w:rPr/>
        <w:t>se refiere el último</w:t>
      </w:r>
      <w:r>
        <w:rPr>
          <w:spacing w:val="-1"/>
        </w:rPr>
        <w:t> </w:t>
      </w:r>
      <w:r>
        <w:rPr/>
        <w:t>párrafo</w:t>
      </w:r>
      <w:r>
        <w:rPr>
          <w:spacing w:val="-1"/>
        </w:rPr>
        <w:t> </w:t>
      </w:r>
      <w:r>
        <w:rPr/>
        <w:t>de la fracción</w:t>
      </w:r>
      <w:r>
        <w:rPr>
          <w:spacing w:val="-2"/>
        </w:rPr>
        <w:t> </w:t>
      </w:r>
      <w:r>
        <w:rPr/>
        <w:t>a que se refiere el presente transitorio serán aquéllas que se emitan con posterioridad a la entrada en vigor de la Ley de Disciplina Financiera de las Entidades Federativas y los Municipios.</w:t>
      </w:r>
    </w:p>
    <w:p>
      <w:pPr>
        <w:pStyle w:val="BodyText"/>
        <w:spacing w:line="242" w:lineRule="auto" w:before="227"/>
        <w:ind w:left="1" w:right="144" w:firstLine="288"/>
        <w:jc w:val="both"/>
      </w:pPr>
      <w:r>
        <w:rPr>
          <w:rFonts w:ascii="Arial" w:hAnsi="Arial"/>
          <w:b/>
        </w:rPr>
        <w:t>SÉPTIMO.- </w:t>
      </w:r>
      <w:r>
        <w:rPr/>
        <w:t>El</w:t>
      </w:r>
      <w:r>
        <w:rPr>
          <w:spacing w:val="-2"/>
        </w:rPr>
        <w:t> </w:t>
      </w:r>
      <w:r>
        <w:rPr/>
        <w:t>porcentaje a que hace referencia el artículo 12 de la Ley</w:t>
      </w:r>
      <w:r>
        <w:rPr>
          <w:spacing w:val="-4"/>
        </w:rPr>
        <w:t> </w:t>
      </w:r>
      <w:r>
        <w:rPr/>
        <w:t>de</w:t>
      </w:r>
      <w:r>
        <w:rPr>
          <w:spacing w:val="-1"/>
        </w:rPr>
        <w:t> </w:t>
      </w:r>
      <w:r>
        <w:rPr/>
        <w:t>Disciplina Financiera</w:t>
      </w:r>
      <w:r>
        <w:rPr>
          <w:spacing w:val="-1"/>
        </w:rPr>
        <w:t> </w:t>
      </w:r>
      <w:r>
        <w:rPr/>
        <w:t>de</w:t>
      </w:r>
      <w:r>
        <w:rPr>
          <w:spacing w:val="-1"/>
        </w:rPr>
        <w:t> </w:t>
      </w:r>
      <w:r>
        <w:rPr/>
        <w:t>las Entidades</w:t>
      </w:r>
      <w:r>
        <w:rPr>
          <w:spacing w:val="-3"/>
        </w:rPr>
        <w:t> </w:t>
      </w:r>
      <w:r>
        <w:rPr/>
        <w:t>Federativas</w:t>
      </w:r>
      <w:r>
        <w:rPr>
          <w:spacing w:val="-1"/>
        </w:rPr>
        <w:t> </w:t>
      </w:r>
      <w:r>
        <w:rPr/>
        <w:t>y</w:t>
      </w:r>
      <w:r>
        <w:rPr>
          <w:spacing w:val="-4"/>
        </w:rPr>
        <w:t> </w:t>
      </w:r>
      <w:r>
        <w:rPr/>
        <w:t>los</w:t>
      </w:r>
      <w:r>
        <w:rPr>
          <w:spacing w:val="-3"/>
        </w:rPr>
        <w:t> </w:t>
      </w:r>
      <w:r>
        <w:rPr/>
        <w:t>Municipios,</w:t>
      </w:r>
      <w:r>
        <w:rPr>
          <w:spacing w:val="-4"/>
        </w:rPr>
        <w:t> </w:t>
      </w:r>
      <w:r>
        <w:rPr/>
        <w:t>relativo</w:t>
      </w:r>
      <w:r>
        <w:rPr>
          <w:spacing w:val="-4"/>
        </w:rPr>
        <w:t> </w:t>
      </w:r>
      <w:r>
        <w:rPr/>
        <w:t>a</w:t>
      </w:r>
      <w:r>
        <w:rPr>
          <w:spacing w:val="-3"/>
        </w:rPr>
        <w:t> </w:t>
      </w:r>
      <w:r>
        <w:rPr/>
        <w:t>los</w:t>
      </w:r>
      <w:r>
        <w:rPr>
          <w:spacing w:val="-1"/>
        </w:rPr>
        <w:t> </w:t>
      </w:r>
      <w:r>
        <w:rPr/>
        <w:t>adeudos</w:t>
      </w:r>
      <w:r>
        <w:rPr>
          <w:spacing w:val="-3"/>
        </w:rPr>
        <w:t> </w:t>
      </w:r>
      <w:r>
        <w:rPr/>
        <w:t>del</w:t>
      </w:r>
      <w:r>
        <w:rPr>
          <w:spacing w:val="-3"/>
        </w:rPr>
        <w:t> </w:t>
      </w:r>
      <w:r>
        <w:rPr/>
        <w:t>ejercicio</w:t>
      </w:r>
      <w:r>
        <w:rPr>
          <w:spacing w:val="-4"/>
        </w:rPr>
        <w:t> </w:t>
      </w:r>
      <w:r>
        <w:rPr/>
        <w:t>fiscal</w:t>
      </w:r>
      <w:r>
        <w:rPr>
          <w:spacing w:val="-3"/>
        </w:rPr>
        <w:t> </w:t>
      </w:r>
      <w:r>
        <w:rPr/>
        <w:t>anterior</w:t>
      </w:r>
      <w:r>
        <w:rPr>
          <w:spacing w:val="-4"/>
        </w:rPr>
        <w:t> </w:t>
      </w:r>
      <w:r>
        <w:rPr/>
        <w:t>de</w:t>
      </w:r>
      <w:r>
        <w:rPr>
          <w:spacing w:val="-2"/>
        </w:rPr>
        <w:t> </w:t>
      </w:r>
      <w:r>
        <w:rPr/>
        <w:t>las</w:t>
      </w:r>
      <w:r>
        <w:rPr>
          <w:spacing w:val="-3"/>
        </w:rPr>
        <w:t> </w:t>
      </w:r>
      <w:r>
        <w:rPr/>
        <w:t>Entidades Federativas, será del 5 por ciento para el ejercicio 2017, 4 por ciento para el 2018, 3 por ciento para el 2019 y, a partir del 2020 se observará el porcentaje establecido en el artículo citado.</w:t>
      </w:r>
    </w:p>
    <w:p>
      <w:pPr>
        <w:pStyle w:val="BodyText"/>
        <w:spacing w:after="0" w:line="242" w:lineRule="auto"/>
        <w:jc w:val="both"/>
        <w:sectPr>
          <w:pgSz w:w="12250" w:h="15850"/>
          <w:pgMar w:header="724" w:footer="712" w:top="1880" w:bottom="900" w:left="1417" w:right="1275"/>
        </w:sectPr>
      </w:pPr>
    </w:p>
    <w:p>
      <w:pPr>
        <w:pStyle w:val="BodyText"/>
        <w:spacing w:before="65"/>
      </w:pPr>
    </w:p>
    <w:p>
      <w:pPr>
        <w:pStyle w:val="BodyText"/>
        <w:ind w:left="1" w:right="140" w:firstLine="288"/>
        <w:jc w:val="both"/>
      </w:pPr>
      <w:r>
        <w:rPr>
          <w:rFonts w:ascii="Arial" w:hAnsi="Arial"/>
          <w:b/>
        </w:rPr>
        <w:t>OCTAVO.- </w:t>
      </w:r>
      <w:r>
        <w:rPr/>
        <w:t>El registro de proyectos de Inversión pública productiva de cada entidad federativa y el sistema de registro y control de las erogaciones de servicios personales, a que se refiere el artículo 13, fracción III, segundo párrafo y la fracción V, segundo párrafo, respectivamente de la Ley de Disciplina Financiera de las Entidades Federativas y los Municipios, deberá estar en operación a más tardar el 1o. de enero de 2018.</w:t>
      </w:r>
    </w:p>
    <w:p>
      <w:pPr>
        <w:pStyle w:val="BodyText"/>
      </w:pPr>
    </w:p>
    <w:p>
      <w:pPr>
        <w:pStyle w:val="BodyText"/>
        <w:ind w:left="1" w:right="150" w:firstLine="288"/>
        <w:jc w:val="both"/>
      </w:pPr>
      <w:r>
        <w:rPr>
          <w:rFonts w:ascii="Arial" w:hAnsi="Arial"/>
          <w:b/>
        </w:rPr>
        <w:t>NOVENO.- </w:t>
      </w:r>
      <w:r>
        <w:rPr/>
        <w:t>Los Ingresos excedentes derivados de Ingresos de libre disposición a que hace referencia el artículo 14, fracción I de la Ley de Disciplina Financiera de las Entidades Federativas y los Municipios, podrán destinarse a reducir el Balance presupuestario de recursos disponibles negativo de ejercicios anteriores, a partir de la entrada en vigor de esta Ley y hasta el ejercicio fiscal 2022.</w:t>
      </w:r>
    </w:p>
    <w:p>
      <w:pPr>
        <w:spacing w:line="183" w:lineRule="exact" w:before="0"/>
        <w:ind w:left="4478"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30-01-2018:</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8"/>
        <w:rPr>
          <w:rFonts w:ascii="Times New Roman"/>
          <w:i/>
          <w:sz w:val="16"/>
        </w:rPr>
      </w:pPr>
    </w:p>
    <w:p>
      <w:pPr>
        <w:pStyle w:val="BodyText"/>
        <w:ind w:left="1" w:right="142" w:firstLine="288"/>
        <w:jc w:val="both"/>
      </w:pPr>
      <w:r>
        <w:rPr>
          <w:rFonts w:ascii="Arial" w:hAnsi="Arial"/>
          <w:b/>
        </w:rPr>
        <w:t>DÉCIMO.- </w:t>
      </w:r>
      <w:r>
        <w:rPr/>
        <w:t>Las disposiciones relacionadas con el equilibrio presupuestario y la responsabilidad hacendaria de los Municipios a que se refiere el Capítulo II del Título Segundo de la Ley de Disciplina Financiera de las Entidades Federativas y los Municipios, entrarán en vigor para efectos del ejercicio</w:t>
      </w:r>
      <w:r>
        <w:rPr>
          <w:spacing w:val="40"/>
        </w:rPr>
        <w:t> </w:t>
      </w:r>
      <w:r>
        <w:rPr/>
        <w:t>fiscal 2018, con las salvedades previstas en los transitorios Décimo Primero y los que apliquen de acuerdo al artículo 21 de dicha Ley.</w:t>
      </w:r>
    </w:p>
    <w:p>
      <w:pPr>
        <w:pStyle w:val="BodyText"/>
      </w:pPr>
    </w:p>
    <w:p>
      <w:pPr>
        <w:pStyle w:val="BodyText"/>
        <w:ind w:left="1" w:right="147" w:firstLine="288"/>
        <w:jc w:val="both"/>
      </w:pPr>
      <w:r>
        <w:rPr>
          <w:rFonts w:ascii="Arial" w:hAnsi="Arial"/>
          <w:b/>
        </w:rPr>
        <w:t>DÉCIMO PRIMERO.- </w:t>
      </w:r>
      <w:r>
        <w:rPr/>
        <w:t>El porcentaje a que hace referencia el artículo 20 de la Ley de Disciplina Financiera de las Entidades Federativas y los Municipios, relativo a los adeudos del ejercicio fiscal</w:t>
      </w:r>
      <w:r>
        <w:rPr>
          <w:spacing w:val="40"/>
        </w:rPr>
        <w:t> </w:t>
      </w:r>
      <w:r>
        <w:rPr/>
        <w:t>anterior de los Municipios, será del 5.5 por ciento para el año 2018, 4.5 por ciento para el año 2019, 3.5 por ciento para el año 2020 y, a partir del año 2021 se estará al porcentaje establecido en dicho artículo.</w:t>
      </w:r>
    </w:p>
    <w:p>
      <w:pPr>
        <w:pStyle w:val="BodyText"/>
      </w:pPr>
    </w:p>
    <w:p>
      <w:pPr>
        <w:pStyle w:val="BodyText"/>
        <w:ind w:left="1" w:right="141" w:firstLine="288"/>
        <w:jc w:val="both"/>
      </w:pPr>
      <w:r>
        <w:rPr>
          <w:rFonts w:ascii="Arial" w:hAnsi="Arial"/>
          <w:b/>
        </w:rPr>
        <w:t>DÉCIMO SEGUNDO.- </w:t>
      </w:r>
      <w:r>
        <w:rPr/>
        <w:t>La Comisión Nacional Bancaria y de Valores publicará las disposiciones a las que hace referencia el artículo 28 de la Ley de Disciplina Financiera de las Entidades Federativas y los Municipios, a más tardar a los 180 días naturales siguientes a la entrada en vigor del presente Decreto.</w:t>
      </w:r>
    </w:p>
    <w:p>
      <w:pPr>
        <w:pStyle w:val="BodyText"/>
        <w:spacing w:before="230"/>
        <w:ind w:left="1" w:right="139" w:firstLine="288"/>
        <w:jc w:val="both"/>
      </w:pPr>
      <w:r>
        <w:rPr>
          <w:rFonts w:ascii="Arial" w:hAnsi="Arial"/>
          <w:b/>
        </w:rPr>
        <w:t>DÉCIMO TERCERO.- </w:t>
      </w:r>
      <w:r>
        <w:rPr/>
        <w:t>El Ejecutivo Federal, por conducto de la Secretaría de Hacienda y Crédito Público, no podrá otorgar la garantía del Gobierno Federal a las obligaciones constitutivas de deuda pública de Estados y Municipios asumidas entre el 1o. de enero de 2015 y la fecha en la que el Estado celebre el convenio referido en el Capítulo IV del Título Tercero de la Ley de Disciplina Financiera de las Entidades Federativas y los Municipios, salvo que se trate de deuda pública de los Estados y Municipios que haya sido contraída para</w:t>
      </w:r>
      <w:r>
        <w:rPr>
          <w:spacing w:val="-1"/>
        </w:rPr>
        <w:t> </w:t>
      </w:r>
      <w:r>
        <w:rPr/>
        <w:t>refinanciar o reestructurar deuda pública</w:t>
      </w:r>
      <w:r>
        <w:rPr>
          <w:spacing w:val="-1"/>
        </w:rPr>
        <w:t> </w:t>
      </w:r>
      <w:r>
        <w:rPr/>
        <w:t>asumida con</w:t>
      </w:r>
      <w:r>
        <w:rPr>
          <w:spacing w:val="-2"/>
        </w:rPr>
        <w:t> </w:t>
      </w:r>
      <w:r>
        <w:rPr/>
        <w:t>anterioridad al 1o. de enero de 2015.</w:t>
      </w:r>
    </w:p>
    <w:p>
      <w:pPr>
        <w:pStyle w:val="BodyText"/>
      </w:pPr>
    </w:p>
    <w:p>
      <w:pPr>
        <w:pStyle w:val="BodyText"/>
        <w:spacing w:before="1"/>
        <w:ind w:left="1" w:right="142" w:firstLine="288"/>
        <w:jc w:val="both"/>
      </w:pPr>
      <w:r>
        <w:rPr>
          <w:rFonts w:ascii="Arial" w:hAnsi="Arial"/>
          <w:b/>
        </w:rPr>
        <w:t>DÉCIMO CUARTO.- </w:t>
      </w:r>
      <w:r>
        <w:rPr/>
        <w:t>El Ejecutivo Federal, por conducto de la Secretaría de Hacienda y Crédito Público, podrá otorgar la garantía del Gobierno Federal a las obligaciones constitutivas de deuda pública de los Estados y Municipios, en términos del Capítulo IV del Título Tercero de la Ley de Disciplina Financiera de las Entidades Federativas y los Municipios, a partir de los 90 días siguientes a la entrada</w:t>
      </w:r>
      <w:r>
        <w:rPr>
          <w:spacing w:val="40"/>
        </w:rPr>
        <w:t> </w:t>
      </w:r>
      <w:r>
        <w:rPr/>
        <w:t>en vigor del presente Decreto en el Diario Oficial de la Federación, siempre y cuando el Estado y, en su caso Municipio correspondiente, cumpla con la publicación de su información financiera de acuerdo con las disposiciones de la Ley General de Contabilidad Gubernamental y las normas expedidas por el Consejo Nacional de Armonización Contable. Para tal efecto, los entes públicos deberán presentar la opinión de la entidad de fiscalización superior de la entidad federativa correspondiente, en la que manifieste si el ente público cumple con dicha disposición.</w:t>
      </w:r>
    </w:p>
    <w:p>
      <w:pPr>
        <w:pStyle w:val="BodyText"/>
        <w:spacing w:before="2"/>
      </w:pPr>
    </w:p>
    <w:p>
      <w:pPr>
        <w:pStyle w:val="BodyText"/>
        <w:ind w:left="1" w:right="139" w:firstLine="288"/>
        <w:jc w:val="both"/>
      </w:pPr>
      <w:r>
        <w:rPr/>
        <w:t>Asimismo, para efectos del párrafo anterior, el Estado o Municipio deberá estar al corriente en el cumplimiento de las obligaciones establecidas en los transitorios Sexto y Séptimo, segundo párrafo, del Decreto por el que se reforman y adicionan diversas disposiciones de la Constitución Política de los Estados Unidos Mexicanos, en materia de disciplina financiera de las entidades federativas y los municipios, publicado el 26 de mayo de 2015 en el Diario Oficial de la Federación. En caso contrario, el Estado o Municipio no podrá acceder a la Deuda Estatal Garantizada, hasta su cumplimiento.</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right="143" w:firstLine="288"/>
        <w:jc w:val="both"/>
      </w:pPr>
      <w:r>
        <w:rPr/>
        <w:t>Adicionalmente, en tanto entra en operación el Sistema de Alertas en los términos establecidos en el siguiente artículo transitorio, los convenios que se formalicen con la Deuda Estatal Garantizada deberán remitirse</w:t>
      </w:r>
      <w:r>
        <w:rPr>
          <w:spacing w:val="-1"/>
        </w:rPr>
        <w:t> </w:t>
      </w:r>
      <w:r>
        <w:rPr/>
        <w:t>a</w:t>
      </w:r>
      <w:r>
        <w:rPr>
          <w:spacing w:val="-1"/>
        </w:rPr>
        <w:t> </w:t>
      </w:r>
      <w:r>
        <w:rPr/>
        <w:t>la</w:t>
      </w:r>
      <w:r>
        <w:rPr>
          <w:spacing w:val="-1"/>
        </w:rPr>
        <w:t> </w:t>
      </w:r>
      <w:r>
        <w:rPr/>
        <w:t>comisión</w:t>
      </w:r>
      <w:r>
        <w:rPr>
          <w:spacing w:val="-2"/>
        </w:rPr>
        <w:t> </w:t>
      </w:r>
      <w:r>
        <w:rPr/>
        <w:t>legislativa</w:t>
      </w:r>
      <w:r>
        <w:rPr>
          <w:spacing w:val="-1"/>
        </w:rPr>
        <w:t> </w:t>
      </w:r>
      <w:r>
        <w:rPr/>
        <w:t>bicameral</w:t>
      </w:r>
      <w:r>
        <w:rPr>
          <w:spacing w:val="-2"/>
        </w:rPr>
        <w:t> </w:t>
      </w:r>
      <w:r>
        <w:rPr/>
        <w:t>para</w:t>
      </w:r>
      <w:r>
        <w:rPr>
          <w:spacing w:val="-1"/>
        </w:rPr>
        <w:t> </w:t>
      </w:r>
      <w:r>
        <w:rPr/>
        <w:t>su</w:t>
      </w:r>
      <w:r>
        <w:rPr>
          <w:spacing w:val="-1"/>
        </w:rPr>
        <w:t> </w:t>
      </w:r>
      <w:r>
        <w:rPr/>
        <w:t>análisis y</w:t>
      </w:r>
      <w:r>
        <w:rPr>
          <w:spacing w:val="-4"/>
        </w:rPr>
        <w:t> </w:t>
      </w:r>
      <w:r>
        <w:rPr/>
        <w:t>opinión</w:t>
      </w:r>
      <w:r>
        <w:rPr>
          <w:spacing w:val="-1"/>
        </w:rPr>
        <w:t> </w:t>
      </w:r>
      <w:r>
        <w:rPr/>
        <w:t>correspondiente.</w:t>
      </w:r>
      <w:r>
        <w:rPr>
          <w:spacing w:val="-1"/>
        </w:rPr>
        <w:t> </w:t>
      </w:r>
      <w:r>
        <w:rPr/>
        <w:t>Una</w:t>
      </w:r>
      <w:r>
        <w:rPr>
          <w:spacing w:val="-2"/>
        </w:rPr>
        <w:t> </w:t>
      </w:r>
      <w:r>
        <w:rPr/>
        <w:t>vez</w:t>
      </w:r>
      <w:r>
        <w:rPr>
          <w:spacing w:val="-2"/>
        </w:rPr>
        <w:t> </w:t>
      </w:r>
      <w:r>
        <w:rPr/>
        <w:t>que</w:t>
      </w:r>
      <w:r>
        <w:rPr>
          <w:spacing w:val="-1"/>
        </w:rPr>
        <w:t> </w:t>
      </w:r>
      <w:r>
        <w:rPr/>
        <w:t>entre en operación el Sistema de Alertas se aplicará lo dispuesto en el artículo 38 de la Ley de Disciplina Financiera de las Entidades Federativas y los Municipios.</w:t>
      </w:r>
    </w:p>
    <w:p>
      <w:pPr>
        <w:pStyle w:val="BodyText"/>
        <w:spacing w:before="228"/>
        <w:ind w:left="1" w:right="144" w:firstLine="288"/>
        <w:jc w:val="both"/>
      </w:pPr>
      <w:r>
        <w:rPr>
          <w:rFonts w:ascii="Arial" w:hAnsi="Arial"/>
          <w:b/>
        </w:rPr>
        <w:t>DÉCIMO QUINTO.- </w:t>
      </w:r>
      <w:r>
        <w:rPr/>
        <w:t>El Sistema de Alertas a que se refiere el Capítulo V del Título Tercero de la Ley</w:t>
      </w:r>
      <w:r>
        <w:rPr>
          <w:spacing w:val="40"/>
        </w:rPr>
        <w:t> </w:t>
      </w:r>
      <w:r>
        <w:rPr/>
        <w:t>de</w:t>
      </w:r>
      <w:r>
        <w:rPr>
          <w:spacing w:val="-3"/>
        </w:rPr>
        <w:t> </w:t>
      </w:r>
      <w:r>
        <w:rPr/>
        <w:t>Disciplina</w:t>
      </w:r>
      <w:r>
        <w:rPr>
          <w:spacing w:val="-2"/>
        </w:rPr>
        <w:t> </w:t>
      </w:r>
      <w:r>
        <w:rPr/>
        <w:t>Financiera de las Entidades</w:t>
      </w:r>
      <w:r>
        <w:rPr>
          <w:spacing w:val="-1"/>
        </w:rPr>
        <w:t> </w:t>
      </w:r>
      <w:r>
        <w:rPr/>
        <w:t>Federativas y</w:t>
      </w:r>
      <w:r>
        <w:rPr>
          <w:spacing w:val="-3"/>
        </w:rPr>
        <w:t> </w:t>
      </w:r>
      <w:r>
        <w:rPr/>
        <w:t>los</w:t>
      </w:r>
      <w:r>
        <w:rPr>
          <w:spacing w:val="-1"/>
        </w:rPr>
        <w:t> </w:t>
      </w:r>
      <w:r>
        <w:rPr/>
        <w:t>Municipios entrará en operación, a</w:t>
      </w:r>
      <w:r>
        <w:rPr>
          <w:spacing w:val="-2"/>
        </w:rPr>
        <w:t> </w:t>
      </w:r>
      <w:r>
        <w:rPr/>
        <w:t>más</w:t>
      </w:r>
      <w:r>
        <w:rPr>
          <w:spacing w:val="-1"/>
        </w:rPr>
        <w:t> </w:t>
      </w:r>
      <w:r>
        <w:rPr/>
        <w:t>tardar el 1o. de abril de 2017.</w:t>
      </w:r>
    </w:p>
    <w:p>
      <w:pPr>
        <w:pStyle w:val="BodyText"/>
        <w:spacing w:before="2"/>
      </w:pPr>
    </w:p>
    <w:p>
      <w:pPr>
        <w:pStyle w:val="BodyText"/>
        <w:ind w:left="1" w:right="153" w:firstLine="288"/>
        <w:jc w:val="both"/>
      </w:pPr>
      <w:r>
        <w:rPr/>
        <w:t>El Ejecutivo Federal deberá emitir el reglamento a que se refiere el Capítulo citado en el párrafo anterior, a más tardar 180 días naturales siguientes a la entrada en vigor del presente Decreto.</w:t>
      </w:r>
    </w:p>
    <w:p>
      <w:pPr>
        <w:pStyle w:val="BodyText"/>
        <w:spacing w:before="229"/>
        <w:ind w:left="1" w:right="144" w:firstLine="288"/>
        <w:jc w:val="both"/>
      </w:pPr>
      <w:r>
        <w:rPr>
          <w:rFonts w:ascii="Arial" w:hAnsi="Arial"/>
          <w:b/>
        </w:rPr>
        <w:t>DÉCIMO SEXTO.- </w:t>
      </w:r>
      <w:r>
        <w:rPr/>
        <w:t>En el caso de los Entes Públicos que, a la entrada en vigor de la Ley de Disciplina Financiera de las Entidades Federativas y los Municipios, se ubiquen en un endeudamiento elevado conforme</w:t>
      </w:r>
      <w:r>
        <w:rPr>
          <w:spacing w:val="-1"/>
        </w:rPr>
        <w:t> </w:t>
      </w:r>
      <w:r>
        <w:rPr/>
        <w:t>a</w:t>
      </w:r>
      <w:r>
        <w:rPr>
          <w:spacing w:val="-1"/>
        </w:rPr>
        <w:t> </w:t>
      </w:r>
      <w:r>
        <w:rPr/>
        <w:t>la</w:t>
      </w:r>
      <w:r>
        <w:rPr>
          <w:spacing w:val="-1"/>
        </w:rPr>
        <w:t> </w:t>
      </w:r>
      <w:r>
        <w:rPr/>
        <w:t>evaluación inicial</w:t>
      </w:r>
      <w:r>
        <w:rPr>
          <w:spacing w:val="-2"/>
        </w:rPr>
        <w:t> </w:t>
      </w:r>
      <w:r>
        <w:rPr/>
        <w:t>del</w:t>
      </w:r>
      <w:r>
        <w:rPr>
          <w:spacing w:val="-2"/>
        </w:rPr>
        <w:t> </w:t>
      </w:r>
      <w:r>
        <w:rPr/>
        <w:t>Sistema</w:t>
      </w:r>
      <w:r>
        <w:rPr>
          <w:spacing w:val="-1"/>
        </w:rPr>
        <w:t> </w:t>
      </w:r>
      <w:r>
        <w:rPr/>
        <w:t>de</w:t>
      </w:r>
      <w:r>
        <w:rPr>
          <w:spacing w:val="-2"/>
        </w:rPr>
        <w:t> </w:t>
      </w:r>
      <w:r>
        <w:rPr/>
        <w:t>Alertas,</w:t>
      </w:r>
      <w:r>
        <w:rPr>
          <w:spacing w:val="-1"/>
        </w:rPr>
        <w:t> </w:t>
      </w:r>
      <w:r>
        <w:rPr/>
        <w:t>los convenios a</w:t>
      </w:r>
      <w:r>
        <w:rPr>
          <w:spacing w:val="-1"/>
        </w:rPr>
        <w:t> </w:t>
      </w:r>
      <w:r>
        <w:rPr/>
        <w:t>que</w:t>
      </w:r>
      <w:r>
        <w:rPr>
          <w:spacing w:val="-1"/>
        </w:rPr>
        <w:t> </w:t>
      </w:r>
      <w:r>
        <w:rPr/>
        <w:t>hacen</w:t>
      </w:r>
      <w:r>
        <w:rPr>
          <w:spacing w:val="-1"/>
        </w:rPr>
        <w:t> </w:t>
      </w:r>
      <w:r>
        <w:rPr/>
        <w:t>referencia</w:t>
      </w:r>
      <w:r>
        <w:rPr>
          <w:spacing w:val="-1"/>
        </w:rPr>
        <w:t> </w:t>
      </w:r>
      <w:r>
        <w:rPr/>
        <w:t>los artículos 34 y 47 de dicha Ley, podrán establecer un Techo de Financiamiento Neto distinto al señalado en el artículo 46 de la misma.</w:t>
      </w:r>
    </w:p>
    <w:p>
      <w:pPr>
        <w:pStyle w:val="BodyText"/>
      </w:pPr>
    </w:p>
    <w:p>
      <w:pPr>
        <w:pStyle w:val="BodyText"/>
        <w:ind w:left="1" w:right="139" w:firstLine="288"/>
        <w:jc w:val="both"/>
      </w:pPr>
      <w:r>
        <w:rPr>
          <w:rFonts w:ascii="Arial" w:hAnsi="Arial"/>
          <w:b/>
        </w:rPr>
        <w:t>DÉCIMO SÉPTIMO.- </w:t>
      </w:r>
      <w:r>
        <w:rPr/>
        <w:t>Los recursos que sean otorgados a los Entes Públicos a través del esquema de los certificados de infraestructura educativa nacional, pertenecientes al Programa Escuelas al CIEN, quedarán exentos del reintegro que deba realizarse a la Tesorería de la Federación, señalado por el artículo</w:t>
      </w:r>
      <w:r>
        <w:rPr>
          <w:spacing w:val="-1"/>
        </w:rPr>
        <w:t> </w:t>
      </w:r>
      <w:r>
        <w:rPr/>
        <w:t>17</w:t>
      </w:r>
      <w:r>
        <w:rPr>
          <w:spacing w:val="-1"/>
        </w:rPr>
        <w:t> </w:t>
      </w:r>
      <w:r>
        <w:rPr/>
        <w:t>de</w:t>
      </w:r>
      <w:r>
        <w:rPr>
          <w:spacing w:val="-1"/>
        </w:rPr>
        <w:t> </w:t>
      </w:r>
      <w:r>
        <w:rPr/>
        <w:t>la</w:t>
      </w:r>
      <w:r>
        <w:rPr>
          <w:spacing w:val="-1"/>
        </w:rPr>
        <w:t> </w:t>
      </w:r>
      <w:r>
        <w:rPr/>
        <w:t>Ley</w:t>
      </w:r>
      <w:r>
        <w:rPr>
          <w:spacing w:val="-6"/>
        </w:rPr>
        <w:t> </w:t>
      </w:r>
      <w:r>
        <w:rPr/>
        <w:t>de</w:t>
      </w:r>
      <w:r>
        <w:rPr>
          <w:spacing w:val="-3"/>
        </w:rPr>
        <w:t> </w:t>
      </w:r>
      <w:r>
        <w:rPr/>
        <w:t>Disciplina</w:t>
      </w:r>
      <w:r>
        <w:rPr>
          <w:spacing w:val="-1"/>
        </w:rPr>
        <w:t> </w:t>
      </w:r>
      <w:r>
        <w:rPr/>
        <w:t>Financiera</w:t>
      </w:r>
      <w:r>
        <w:rPr>
          <w:spacing w:val="-1"/>
        </w:rPr>
        <w:t> </w:t>
      </w:r>
      <w:r>
        <w:rPr/>
        <w:t>de</w:t>
      </w:r>
      <w:r>
        <w:rPr>
          <w:spacing w:val="-2"/>
        </w:rPr>
        <w:t> </w:t>
      </w:r>
      <w:r>
        <w:rPr/>
        <w:t>las Entidades</w:t>
      </w:r>
      <w:r>
        <w:rPr>
          <w:spacing w:val="-2"/>
        </w:rPr>
        <w:t> </w:t>
      </w:r>
      <w:r>
        <w:rPr/>
        <w:t>Federativas y</w:t>
      </w:r>
      <w:r>
        <w:rPr>
          <w:spacing w:val="-4"/>
        </w:rPr>
        <w:t> </w:t>
      </w:r>
      <w:r>
        <w:rPr/>
        <w:t>los Municipios, y</w:t>
      </w:r>
      <w:r>
        <w:rPr>
          <w:spacing w:val="-6"/>
        </w:rPr>
        <w:t> </w:t>
      </w:r>
      <w:r>
        <w:rPr/>
        <w:t>estarán</w:t>
      </w:r>
      <w:r>
        <w:rPr>
          <w:spacing w:val="-1"/>
        </w:rPr>
        <w:t> </w:t>
      </w:r>
      <w:r>
        <w:rPr/>
        <w:t>a</w:t>
      </w:r>
      <w:r>
        <w:rPr>
          <w:spacing w:val="-1"/>
        </w:rPr>
        <w:t> </w:t>
      </w:r>
      <w:r>
        <w:rPr/>
        <w:t>lo dispuesto en dicho programa.</w:t>
      </w:r>
    </w:p>
    <w:p>
      <w:pPr>
        <w:pStyle w:val="BodyText"/>
        <w:spacing w:before="1"/>
      </w:pPr>
    </w:p>
    <w:p>
      <w:pPr>
        <w:pStyle w:val="BodyText"/>
        <w:ind w:left="1" w:right="140" w:firstLine="288"/>
        <w:jc w:val="both"/>
      </w:pPr>
      <w:r>
        <w:rPr>
          <w:rFonts w:ascii="Arial" w:hAnsi="Arial"/>
          <w:b/>
        </w:rPr>
        <w:t>DÉCIMO OCTAVO.- </w:t>
      </w:r>
      <w:r>
        <w:rPr/>
        <w:t>El Registro Público Único a que se refiere el Capítulo VI del Título Tercero de la Ley de Disciplina Financiera de las Entidades Federativas y los Municipios sustituirá al Registro de Obligaciones y</w:t>
      </w:r>
      <w:r>
        <w:rPr>
          <w:spacing w:val="-2"/>
        </w:rPr>
        <w:t> </w:t>
      </w:r>
      <w:r>
        <w:rPr/>
        <w:t>Empréstitos de Entidades y</w:t>
      </w:r>
      <w:r>
        <w:rPr>
          <w:spacing w:val="-2"/>
        </w:rPr>
        <w:t> </w:t>
      </w:r>
      <w:r>
        <w:rPr/>
        <w:t>Municipios y</w:t>
      </w:r>
      <w:r>
        <w:rPr>
          <w:spacing w:val="-2"/>
        </w:rPr>
        <w:t> </w:t>
      </w:r>
      <w:r>
        <w:rPr/>
        <w:t>entrará en</w:t>
      </w:r>
      <w:r>
        <w:rPr>
          <w:spacing w:val="-1"/>
        </w:rPr>
        <w:t> </w:t>
      </w:r>
      <w:r>
        <w:rPr/>
        <w:t>operación, a más tardar el 1o.</w:t>
      </w:r>
      <w:r>
        <w:rPr>
          <w:spacing w:val="-1"/>
        </w:rPr>
        <w:t> </w:t>
      </w:r>
      <w:r>
        <w:rPr/>
        <w:t>de abril de 2017.</w:t>
      </w:r>
    </w:p>
    <w:p>
      <w:pPr>
        <w:pStyle w:val="BodyText"/>
        <w:spacing w:before="2"/>
      </w:pPr>
    </w:p>
    <w:p>
      <w:pPr>
        <w:pStyle w:val="BodyText"/>
        <w:ind w:left="1" w:right="153" w:firstLine="288"/>
        <w:jc w:val="both"/>
      </w:pPr>
      <w:r>
        <w:rPr/>
        <w:t>El Ejecutivo Federal deberá emitir el reglamento a que se refiere el Capítulo citado en el párrafo anterior, a más tardar 180 días naturales siguientes a la entrada en vigor del presente Decreto.</w:t>
      </w:r>
    </w:p>
    <w:p>
      <w:pPr>
        <w:pStyle w:val="BodyText"/>
        <w:spacing w:before="229"/>
        <w:ind w:left="1" w:right="144" w:firstLine="288"/>
        <w:jc w:val="both"/>
      </w:pPr>
      <w:r>
        <w:rPr/>
        <w:t>Los trámites iniciados ante el Registro de Obligaciones y Empréstitos de Entidades y Municipios, con anterioridad a la entrada en vigor del Registro Público Único, se llevarán a cabo de conformidad con las disposiciones vigentes en la fecha de inicio del trámite.</w:t>
      </w:r>
    </w:p>
    <w:p>
      <w:pPr>
        <w:pStyle w:val="BodyText"/>
        <w:spacing w:before="229"/>
        <w:ind w:left="1" w:right="144" w:firstLine="288"/>
        <w:jc w:val="both"/>
      </w:pPr>
      <w:r>
        <w:rPr/>
        <w:t>Las referencias al Registro de Obligaciones y Empréstitos de Entidades y Municipios en las leyes y disposiciones administrativas, así como en cualquier otro acto jurídico, se entenderán hechas al Registro Público Único.</w:t>
      </w:r>
    </w:p>
    <w:p>
      <w:pPr>
        <w:pStyle w:val="BodyText"/>
      </w:pPr>
    </w:p>
    <w:p>
      <w:pPr>
        <w:pStyle w:val="BodyText"/>
        <w:ind w:left="1" w:right="142" w:firstLine="288"/>
        <w:jc w:val="both"/>
      </w:pPr>
      <w:r>
        <w:rPr>
          <w:rFonts w:ascii="Arial" w:hAnsi="Arial"/>
          <w:b/>
        </w:rPr>
        <w:t>DÉCIMO NOVENO.- </w:t>
      </w:r>
      <w:r>
        <w:rPr/>
        <w:t>Las obligaciones establecidas en los Capítulos I, II y III del Título Tercero de la Ley de Disciplina Financiera de las Entidades Federativas y los Municipios relacionados con el Registro Público Único serán aplicables hasta la entrada en operación del mismo. En tanto, seguirán vigentes las disposiciones del Registro de Obligaciones y Empréstitos de Entidades y Municipios.</w:t>
      </w:r>
    </w:p>
    <w:p>
      <w:pPr>
        <w:pStyle w:val="BodyText"/>
        <w:spacing w:before="230"/>
        <w:ind w:left="1" w:right="140" w:firstLine="288"/>
        <w:jc w:val="both"/>
      </w:pPr>
      <w:r>
        <w:rPr>
          <w:rFonts w:ascii="Arial" w:hAnsi="Arial"/>
          <w:b/>
        </w:rPr>
        <w:t>VIGÉSIMO.- </w:t>
      </w:r>
      <w:r>
        <w:rPr/>
        <w:t>El Consejo Nacional de Armonización Contable deberá emitir, en un plazo máximo de</w:t>
      </w:r>
      <w:r>
        <w:rPr>
          <w:spacing w:val="40"/>
        </w:rPr>
        <w:t> </w:t>
      </w:r>
      <w:r>
        <w:rPr/>
        <w:t>180 días naturales siguientes a la entrada en vigor del presente Decreto, las normas necesarias para identificar el gasto realizado con recursos provenientes de ingresos de libre disposición, transferencias federales etiquetadas y deuda pública, en los términos definidos en el artículo 2 de la Ley de Disciplina Financiera de las Entidades Federativas y los Municipios.</w:t>
      </w:r>
    </w:p>
    <w:p>
      <w:pPr>
        <w:pStyle w:val="BodyText"/>
        <w:spacing w:after="0"/>
        <w:jc w:val="both"/>
        <w:sectPr>
          <w:pgSz w:w="12250" w:h="15850"/>
          <w:pgMar w:header="724" w:footer="712" w:top="1880" w:bottom="900" w:left="1417" w:right="1275"/>
        </w:sectPr>
      </w:pPr>
    </w:p>
    <w:p>
      <w:pPr>
        <w:pStyle w:val="BodyText"/>
        <w:spacing w:before="65"/>
      </w:pPr>
    </w:p>
    <w:p>
      <w:pPr>
        <w:pStyle w:val="BodyText"/>
        <w:spacing w:line="242" w:lineRule="auto"/>
        <w:ind w:left="1" w:right="147" w:firstLine="288"/>
        <w:jc w:val="both"/>
      </w:pPr>
      <w:r>
        <w:rPr>
          <w:rFonts w:ascii="Arial" w:hAnsi="Arial"/>
          <w:b/>
        </w:rPr>
        <w:t>VIGÉSIMO PRIMERO.- </w:t>
      </w:r>
      <w:r>
        <w:rPr/>
        <w:t>Las menciones que en las leyes, reglamentos, decretos y cualquier</w:t>
      </w:r>
      <w:r>
        <w:rPr>
          <w:spacing w:val="40"/>
        </w:rPr>
        <w:t> </w:t>
      </w:r>
      <w:r>
        <w:rPr/>
        <w:t>disposición administrativa, así como en contratos, convenios y cualquier instrumento jurídico se hagan a</w:t>
      </w:r>
      <w:r>
        <w:rPr>
          <w:spacing w:val="40"/>
        </w:rPr>
        <w:t> </w:t>
      </w:r>
      <w:r>
        <w:rPr/>
        <w:t>la Ley General de Deuda Pública, se entenderán referidas a la Ley Federal de Deuda Pública.</w:t>
      </w:r>
    </w:p>
    <w:p>
      <w:pPr>
        <w:spacing w:before="222"/>
        <w:ind w:left="1" w:right="140" w:firstLine="288"/>
        <w:jc w:val="both"/>
        <w:rPr>
          <w:rFonts w:ascii="Arial" w:hAnsi="Arial"/>
          <w:b/>
          <w:sz w:val="20"/>
        </w:rPr>
      </w:pPr>
      <w:r>
        <w:rPr>
          <w:sz w:val="20"/>
        </w:rPr>
        <w:t>Ciudad de México, a 17 de marzo de 2016.- Sen. </w:t>
      </w:r>
      <w:r>
        <w:rPr>
          <w:rFonts w:ascii="Arial" w:hAnsi="Arial"/>
          <w:b/>
          <w:sz w:val="20"/>
        </w:rPr>
        <w:t>Roberto Gil Zuarth</w:t>
      </w:r>
      <w:r>
        <w:rPr>
          <w:sz w:val="20"/>
        </w:rPr>
        <w:t>, Presidente.- Dip. </w:t>
      </w:r>
      <w:r>
        <w:rPr>
          <w:rFonts w:ascii="Arial" w:hAnsi="Arial"/>
          <w:b/>
          <w:sz w:val="20"/>
        </w:rPr>
        <w:t>José de Jesús Zambrano Grijalva</w:t>
      </w:r>
      <w:r>
        <w:rPr>
          <w:sz w:val="20"/>
        </w:rPr>
        <w:t>, Presidente.- Sen. </w:t>
      </w:r>
      <w:r>
        <w:rPr>
          <w:rFonts w:ascii="Arial" w:hAnsi="Arial"/>
          <w:b/>
          <w:sz w:val="20"/>
        </w:rPr>
        <w:t>Hilda Esthela Flores Escalera</w:t>
      </w:r>
      <w:r>
        <w:rPr>
          <w:sz w:val="20"/>
        </w:rPr>
        <w:t>, Secretaria.- Dip. </w:t>
      </w:r>
      <w:r>
        <w:rPr>
          <w:rFonts w:ascii="Arial" w:hAnsi="Arial"/>
          <w:b/>
          <w:sz w:val="20"/>
        </w:rPr>
        <w:t>Ramón Bañales Arambula</w:t>
      </w:r>
      <w:r>
        <w:rPr>
          <w:sz w:val="20"/>
        </w:rPr>
        <w:t>, Secretario.- Rúbricas.</w:t>
      </w:r>
      <w:r>
        <w:rPr>
          <w:rFonts w:ascii="Arial" w:hAnsi="Arial"/>
          <w:b/>
          <w:sz w:val="20"/>
        </w:rPr>
        <w:t>"</w:t>
      </w:r>
    </w:p>
    <w:p>
      <w:pPr>
        <w:pStyle w:val="BodyText"/>
        <w:spacing w:before="2"/>
        <w:rPr>
          <w:rFonts w:ascii="Arial"/>
          <w:b/>
        </w:rPr>
      </w:pPr>
    </w:p>
    <w:p>
      <w:pPr>
        <w:pStyle w:val="BodyText"/>
        <w:ind w:left="1"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veintisiete de abril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expide la Ley de Fiscalización y Rendición de Cuentas de la Federación; y se reforman el artículo 49 de la Ley de Coordinación Fiscal, y el artículo 70 de la Ley General de Contabilidad Gubernamental.</w:t>
      </w:r>
    </w:p>
    <w:p>
      <w:pPr>
        <w:spacing w:before="233"/>
        <w:ind w:left="1156" w:right="129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18</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2016</w:t>
      </w:r>
    </w:p>
    <w:p>
      <w:pPr>
        <w:pStyle w:val="BodyText"/>
        <w:spacing w:before="44"/>
        <w:rPr>
          <w:sz w:val="16"/>
        </w:rPr>
      </w:pPr>
    </w:p>
    <w:p>
      <w:pPr>
        <w:pStyle w:val="BodyText"/>
        <w:spacing w:line="242" w:lineRule="auto"/>
        <w:ind w:left="1" w:firstLine="288"/>
      </w:pPr>
      <w:r>
        <w:rPr>
          <w:rFonts w:ascii="Arial" w:hAnsi="Arial"/>
          <w:b/>
        </w:rPr>
        <w:t>ARTÍCULO SEGUNDO.- </w:t>
      </w:r>
      <w:r>
        <w:rPr/>
        <w:t>Se Reforma el artículo 49, párrafos primero, segundo y último, así como las fracciones III, IV y V, de la Ley de Coordinación Fiscal, para quedar como sigue:</w:t>
      </w:r>
    </w:p>
    <w:p>
      <w:pPr>
        <w:spacing w:before="229"/>
        <w:ind w:left="289" w:right="0" w:firstLine="0"/>
        <w:jc w:val="left"/>
        <w:rPr>
          <w:sz w:val="20"/>
        </w:rPr>
      </w:pPr>
      <w:r>
        <w:rPr>
          <w:spacing w:val="-4"/>
          <w:sz w:val="20"/>
        </w:rPr>
        <w:t>……….</w:t>
      </w:r>
    </w:p>
    <w:p>
      <w:pPr>
        <w:pStyle w:val="Heading1"/>
        <w:spacing w:before="227"/>
      </w:pPr>
      <w:r>
        <w:rPr>
          <w:spacing w:val="-2"/>
        </w:rPr>
        <w:t>TRANSITORIOS</w:t>
      </w:r>
    </w:p>
    <w:p>
      <w:pPr>
        <w:pStyle w:val="BodyText"/>
        <w:spacing w:before="1"/>
        <w:rPr>
          <w:rFonts w:ascii="Arial"/>
          <w:b/>
        </w:rPr>
      </w:pPr>
    </w:p>
    <w:p>
      <w:pPr>
        <w:pStyle w:val="BodyText"/>
        <w:spacing w:line="242" w:lineRule="auto"/>
        <w:ind w:left="1" w:right="152" w:firstLine="288"/>
        <w:jc w:val="both"/>
      </w:pPr>
      <w:r>
        <w:rPr>
          <w:rFonts w:ascii="Arial" w:hAnsi="Arial"/>
          <w:b/>
        </w:rPr>
        <w:t>PRIMERO.- </w:t>
      </w:r>
      <w:r>
        <w:rPr/>
        <w:t>El presente Decreto entrará en vigor al día siguiente de su publicación en el Diario Oficial de la Federación, sin perjuicio de lo previsto en los transitorios siguientes.</w:t>
      </w:r>
    </w:p>
    <w:p>
      <w:pPr>
        <w:pStyle w:val="BodyText"/>
        <w:spacing w:line="242" w:lineRule="auto" w:before="224"/>
        <w:ind w:left="1" w:right="147" w:firstLine="288"/>
        <w:jc w:val="both"/>
      </w:pPr>
      <w:r>
        <w:rPr>
          <w:rFonts w:ascii="Arial" w:hAnsi="Arial"/>
          <w:b/>
        </w:rPr>
        <w:t>SEGUNDO.- </w:t>
      </w:r>
      <w:r>
        <w:rPr/>
        <w:t>Las referencias, remisiones o contenidos del presente Decreto que estén vinculados con la aplicación de la Ley General del Sistema Nacional Anticorrupción, de la Ley General de Responsabilidades Administrativas y de las nuevas facultades del Tribunal Federal de Justicia Administrativa, entrarán en vigor cuando dichos ordenamientos se encuentren vigentes.</w:t>
      </w:r>
    </w:p>
    <w:p>
      <w:pPr>
        <w:pStyle w:val="BodyText"/>
        <w:spacing w:line="242" w:lineRule="auto" w:before="221"/>
        <w:ind w:left="1" w:right="141" w:firstLine="288"/>
        <w:jc w:val="both"/>
      </w:pPr>
      <w:r>
        <w:rPr>
          <w:rFonts w:ascii="Arial" w:hAnsi="Arial"/>
          <w:b/>
        </w:rPr>
        <w:t>TERCERO.-</w:t>
      </w:r>
      <w:r>
        <w:rPr>
          <w:rFonts w:ascii="Arial" w:hAnsi="Arial"/>
          <w:b/>
          <w:spacing w:val="-2"/>
        </w:rPr>
        <w:t> </w:t>
      </w:r>
      <w:r>
        <w:rPr/>
        <w:t>Se</w:t>
      </w:r>
      <w:r>
        <w:rPr>
          <w:spacing w:val="-3"/>
        </w:rPr>
        <w:t> </w:t>
      </w:r>
      <w:r>
        <w:rPr/>
        <w:t>abroga</w:t>
      </w:r>
      <w:r>
        <w:rPr>
          <w:spacing w:val="-1"/>
        </w:rPr>
        <w:t> </w:t>
      </w:r>
      <w:r>
        <w:rPr/>
        <w:t>la Ley</w:t>
      </w:r>
      <w:r>
        <w:rPr>
          <w:spacing w:val="-4"/>
        </w:rPr>
        <w:t> </w:t>
      </w:r>
      <w:r>
        <w:rPr/>
        <w:t>de</w:t>
      </w:r>
      <w:r>
        <w:rPr>
          <w:spacing w:val="-4"/>
        </w:rPr>
        <w:t> </w:t>
      </w:r>
      <w:r>
        <w:rPr/>
        <w:t>Fiscalización</w:t>
      </w:r>
      <w:r>
        <w:rPr>
          <w:spacing w:val="-1"/>
        </w:rPr>
        <w:t> </w:t>
      </w:r>
      <w:r>
        <w:rPr/>
        <w:t>y</w:t>
      </w:r>
      <w:r>
        <w:rPr>
          <w:spacing w:val="-4"/>
        </w:rPr>
        <w:t> </w:t>
      </w:r>
      <w:r>
        <w:rPr/>
        <w:t>Rendición</w:t>
      </w:r>
      <w:r>
        <w:rPr>
          <w:spacing w:val="-3"/>
        </w:rPr>
        <w:t> </w:t>
      </w:r>
      <w:r>
        <w:rPr/>
        <w:t>de</w:t>
      </w:r>
      <w:r>
        <w:rPr>
          <w:spacing w:val="-3"/>
        </w:rPr>
        <w:t> </w:t>
      </w:r>
      <w:r>
        <w:rPr/>
        <w:t>Cuentas</w:t>
      </w:r>
      <w:r>
        <w:rPr>
          <w:spacing w:val="-2"/>
        </w:rPr>
        <w:t> </w:t>
      </w:r>
      <w:r>
        <w:rPr/>
        <w:t>de</w:t>
      </w:r>
      <w:r>
        <w:rPr>
          <w:spacing w:val="-2"/>
        </w:rPr>
        <w:t> </w:t>
      </w:r>
      <w:r>
        <w:rPr/>
        <w:t>la</w:t>
      </w:r>
      <w:r>
        <w:rPr>
          <w:spacing w:val="-3"/>
        </w:rPr>
        <w:t> </w:t>
      </w:r>
      <w:r>
        <w:rPr/>
        <w:t>Federación,</w:t>
      </w:r>
      <w:r>
        <w:rPr>
          <w:spacing w:val="-3"/>
        </w:rPr>
        <w:t> </w:t>
      </w:r>
      <w:r>
        <w:rPr/>
        <w:t>publicada</w:t>
      </w:r>
      <w:r>
        <w:rPr>
          <w:spacing w:val="-3"/>
        </w:rPr>
        <w:t> </w:t>
      </w:r>
      <w:r>
        <w:rPr/>
        <w:t>en el Diario Oficial de la Federación el 29 de mayo de 2009, conforme a lo dispuesto en los artículos transitorios subsecuentes y</w:t>
      </w:r>
      <w:r>
        <w:rPr>
          <w:spacing w:val="-2"/>
        </w:rPr>
        <w:t> </w:t>
      </w:r>
      <w:r>
        <w:rPr/>
        <w:t>se</w:t>
      </w:r>
      <w:r>
        <w:rPr>
          <w:spacing w:val="-1"/>
        </w:rPr>
        <w:t> </w:t>
      </w:r>
      <w:r>
        <w:rPr/>
        <w:t>derogan</w:t>
      </w:r>
      <w:r>
        <w:rPr>
          <w:spacing w:val="-2"/>
        </w:rPr>
        <w:t> </w:t>
      </w:r>
      <w:r>
        <w:rPr/>
        <w:t>todas las disposiciones legales que</w:t>
      </w:r>
      <w:r>
        <w:rPr>
          <w:spacing w:val="-2"/>
        </w:rPr>
        <w:t> </w:t>
      </w:r>
      <w:r>
        <w:rPr/>
        <w:t>contravengan</w:t>
      </w:r>
      <w:r>
        <w:rPr>
          <w:spacing w:val="-1"/>
        </w:rPr>
        <w:t> </w:t>
      </w:r>
      <w:r>
        <w:rPr/>
        <w:t>o</w:t>
      </w:r>
      <w:r>
        <w:rPr>
          <w:spacing w:val="-1"/>
        </w:rPr>
        <w:t> </w:t>
      </w:r>
      <w:r>
        <w:rPr/>
        <w:t>se opongan</w:t>
      </w:r>
      <w:r>
        <w:rPr>
          <w:spacing w:val="-2"/>
        </w:rPr>
        <w:t> </w:t>
      </w:r>
      <w:r>
        <w:rPr/>
        <w:t>a la presente Ley.</w:t>
      </w:r>
    </w:p>
    <w:p>
      <w:pPr>
        <w:pStyle w:val="BodyText"/>
        <w:spacing w:before="223"/>
        <w:ind w:left="1" w:right="145" w:firstLine="288"/>
        <w:jc w:val="both"/>
      </w:pPr>
      <w:r>
        <w:rPr>
          <w:rFonts w:ascii="Arial" w:hAnsi="Arial"/>
          <w:b/>
        </w:rPr>
        <w:t>CUARTO.- </w:t>
      </w:r>
      <w:r>
        <w:rPr/>
        <w:t>Los procedimientos administrativos iniciados de conformidad con la Ley de Fiscalización y Rendición de Cuentas de la Federación que se encuentren en trámite o pendientes de resolución a la entrada en vigor de la presente Ley, se resolverán hasta su conclusión definitiva, en términos de la Ley</w:t>
      </w:r>
      <w:r>
        <w:rPr>
          <w:spacing w:val="40"/>
        </w:rPr>
        <w:t> </w:t>
      </w:r>
      <w:r>
        <w:rPr/>
        <w:t>de</w:t>
      </w:r>
      <w:r>
        <w:rPr>
          <w:spacing w:val="-1"/>
        </w:rPr>
        <w:t> </w:t>
      </w:r>
      <w:r>
        <w:rPr/>
        <w:t>Fiscalización y</w:t>
      </w:r>
      <w:r>
        <w:rPr>
          <w:spacing w:val="-3"/>
        </w:rPr>
        <w:t> </w:t>
      </w:r>
      <w:r>
        <w:rPr/>
        <w:t>Rendición de Cuentas de la Federación</w:t>
      </w:r>
      <w:r>
        <w:rPr>
          <w:spacing w:val="-1"/>
        </w:rPr>
        <w:t> </w:t>
      </w:r>
      <w:r>
        <w:rPr/>
        <w:t>que</w:t>
      </w:r>
      <w:r>
        <w:rPr>
          <w:spacing w:val="-1"/>
        </w:rPr>
        <w:t> </w:t>
      </w:r>
      <w:r>
        <w:rPr/>
        <w:t>se abroga, así como los que se deriven de las funciones de fiscalización y revisión hasta la Cuenta de la Hacienda Pública Federal del año 2015.</w:t>
      </w:r>
    </w:p>
    <w:p>
      <w:pPr>
        <w:pStyle w:val="BodyText"/>
        <w:spacing w:line="242" w:lineRule="auto" w:before="228"/>
        <w:ind w:left="1" w:right="151" w:firstLine="288"/>
        <w:jc w:val="both"/>
      </w:pPr>
      <w:r>
        <w:rPr>
          <w:rFonts w:ascii="Arial" w:hAnsi="Arial"/>
          <w:b/>
        </w:rPr>
        <w:t>QUINTO.- </w:t>
      </w:r>
      <w:r>
        <w:rPr/>
        <w:t>Las</w:t>
      </w:r>
      <w:r>
        <w:rPr>
          <w:spacing w:val="-1"/>
        </w:rPr>
        <w:t> </w:t>
      </w:r>
      <w:r>
        <w:rPr/>
        <w:t>funciones de fiscalización y</w:t>
      </w:r>
      <w:r>
        <w:rPr>
          <w:spacing w:val="-3"/>
        </w:rPr>
        <w:t> </w:t>
      </w:r>
      <w:r>
        <w:rPr/>
        <w:t>revisión de la Auditoría Superior de la Federación previstas en la presente Ley entrarán en vigor a partir de la Cuenta de la Hacienda Pública Federal del año 2016.</w:t>
      </w:r>
    </w:p>
    <w:p>
      <w:pPr>
        <w:pStyle w:val="BodyText"/>
        <w:spacing w:line="242" w:lineRule="auto" w:before="227"/>
        <w:ind w:left="1" w:right="154" w:firstLine="288"/>
        <w:jc w:val="both"/>
      </w:pPr>
      <w:r>
        <w:rPr>
          <w:rFonts w:ascii="Arial" w:hAnsi="Arial"/>
          <w:b/>
        </w:rPr>
        <w:t>SEXTO.- </w:t>
      </w:r>
      <w:r>
        <w:rPr/>
        <w:t>Las funciones de fiscalización y revisión para el ejercicio del año en curso y de ejercicios anteriores entrarán en vigor al día siguiente de la publicación del presente Decreto.</w:t>
      </w:r>
    </w:p>
    <w:p>
      <w:pPr>
        <w:pStyle w:val="BodyText"/>
        <w:spacing w:line="242" w:lineRule="auto" w:before="224"/>
        <w:ind w:left="1" w:right="150" w:firstLine="288"/>
        <w:jc w:val="both"/>
      </w:pPr>
      <w:r>
        <w:rPr>
          <w:rFonts w:ascii="Arial" w:hAnsi="Arial"/>
          <w:b/>
        </w:rPr>
        <w:t>SÉPTIMO.- </w:t>
      </w:r>
      <w:r>
        <w:rPr/>
        <w:t>La Auditoría Superior de la Federación y la Cámara de Diputados, por lo que hace a la Unidad de Evaluación y Control, deberán actualizar sus reglamentos interiores conforme a lo previsto en esta Ley en un plazo no mayor a 180 días hábiles contados a partir de la vigencia de la presente Ley.</w:t>
      </w:r>
    </w:p>
    <w:p>
      <w:pPr>
        <w:pStyle w:val="BodyText"/>
        <w:spacing w:before="225"/>
        <w:ind w:left="1" w:right="140" w:firstLine="288"/>
        <w:jc w:val="both"/>
      </w:pPr>
      <w:r>
        <w:rPr>
          <w:rFonts w:ascii="Arial" w:hAnsi="Arial"/>
          <w:b/>
        </w:rPr>
        <w:t>OCTAVO.- </w:t>
      </w:r>
      <w:r>
        <w:rPr/>
        <w:t>La Auditoría Superior de la Federación deberá actualizar y, en su caso, publicar la normatividad que conforme a sus atribuciones deba expedir en un plazo no mayor a 180 días hábiles contados a partir de la vigencia de la presente Ley.</w:t>
      </w:r>
    </w:p>
    <w:p>
      <w:pPr>
        <w:spacing w:before="229"/>
        <w:ind w:left="1" w:right="141" w:firstLine="288"/>
        <w:jc w:val="both"/>
        <w:rPr>
          <w:rFonts w:ascii="Arial" w:hAnsi="Arial"/>
          <w:b/>
          <w:sz w:val="20"/>
        </w:rPr>
      </w:pPr>
      <w:r>
        <w:rPr>
          <w:sz w:val="20"/>
        </w:rPr>
        <w:t>Ciudad de México, a 17 de junio de 2016.- Dip. </w:t>
      </w:r>
      <w:r>
        <w:rPr>
          <w:rFonts w:ascii="Arial" w:hAnsi="Arial"/>
          <w:b/>
          <w:sz w:val="20"/>
        </w:rPr>
        <w:t>José de</w:t>
      </w:r>
      <w:r>
        <w:rPr>
          <w:rFonts w:ascii="Arial" w:hAnsi="Arial"/>
          <w:b/>
          <w:spacing w:val="-1"/>
          <w:sz w:val="20"/>
        </w:rPr>
        <w:t> </w:t>
      </w:r>
      <w:r>
        <w:rPr>
          <w:rFonts w:ascii="Arial" w:hAnsi="Arial"/>
          <w:b/>
          <w:sz w:val="20"/>
        </w:rPr>
        <w:t>Jesús Zambrano Grijalva</w:t>
      </w:r>
      <w:r>
        <w:rPr>
          <w:sz w:val="20"/>
        </w:rPr>
        <w:t>,</w:t>
      </w:r>
      <w:r>
        <w:rPr>
          <w:spacing w:val="-1"/>
          <w:sz w:val="20"/>
        </w:rPr>
        <w:t> </w:t>
      </w:r>
      <w:r>
        <w:rPr>
          <w:sz w:val="20"/>
        </w:rPr>
        <w:t>Presidente.- Sen. </w:t>
      </w:r>
      <w:r>
        <w:rPr>
          <w:rFonts w:ascii="Arial" w:hAnsi="Arial"/>
          <w:b/>
          <w:sz w:val="20"/>
        </w:rPr>
        <w:t>Roberto Gil Zuarth</w:t>
      </w:r>
      <w:r>
        <w:rPr>
          <w:sz w:val="20"/>
        </w:rPr>
        <w:t>, Presidente.- Dip. </w:t>
      </w:r>
      <w:r>
        <w:rPr>
          <w:rFonts w:ascii="Arial" w:hAnsi="Arial"/>
          <w:b/>
          <w:sz w:val="20"/>
        </w:rPr>
        <w:t>Verónica Delgadillo García</w:t>
      </w:r>
      <w:r>
        <w:rPr>
          <w:sz w:val="20"/>
        </w:rPr>
        <w:t>, Secretaria.- Sen. </w:t>
      </w:r>
      <w:r>
        <w:rPr>
          <w:rFonts w:ascii="Arial" w:hAnsi="Arial"/>
          <w:b/>
          <w:sz w:val="20"/>
        </w:rPr>
        <w:t>María Elena Barrera Tapia</w:t>
      </w:r>
      <w:r>
        <w:rPr>
          <w:sz w:val="20"/>
        </w:rPr>
        <w:t>, Secretaria.- Rúbricas.</w:t>
      </w:r>
      <w:r>
        <w:rPr>
          <w:rFonts w:ascii="Arial" w:hAnsi="Arial"/>
          <w:b/>
          <w:sz w:val="20"/>
        </w:rPr>
        <w:t>"</w:t>
      </w:r>
    </w:p>
    <w:p>
      <w:pPr>
        <w:pStyle w:val="BodyText"/>
        <w:spacing w:before="2"/>
        <w:rPr>
          <w:rFonts w:ascii="Arial"/>
          <w:b/>
        </w:rPr>
      </w:pPr>
    </w:p>
    <w:p>
      <w:pPr>
        <w:pStyle w:val="BodyText"/>
        <w:ind w:left="1" w:right="14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56"/>
        </w:rPr>
        <w:t> </w:t>
      </w:r>
      <w:r>
        <w:rPr/>
        <w:t>del</w:t>
      </w:r>
      <w:r>
        <w:rPr>
          <w:spacing w:val="57"/>
        </w:rPr>
        <w:t> </w:t>
      </w:r>
      <w:r>
        <w:rPr/>
        <w:t>Poder</w:t>
      </w:r>
      <w:r>
        <w:rPr>
          <w:spacing w:val="55"/>
        </w:rPr>
        <w:t> </w:t>
      </w:r>
      <w:r>
        <w:rPr/>
        <w:t>Ejecutivo</w:t>
      </w:r>
      <w:r>
        <w:rPr>
          <w:spacing w:val="54"/>
        </w:rPr>
        <w:t> </w:t>
      </w:r>
      <w:r>
        <w:rPr/>
        <w:t>Federal,</w:t>
      </w:r>
      <w:r>
        <w:rPr>
          <w:spacing w:val="54"/>
        </w:rPr>
        <w:t> </w:t>
      </w:r>
      <w:r>
        <w:rPr/>
        <w:t>en</w:t>
      </w:r>
      <w:r>
        <w:rPr>
          <w:spacing w:val="54"/>
        </w:rPr>
        <w:t> </w:t>
      </w:r>
      <w:r>
        <w:rPr/>
        <w:t>la</w:t>
      </w:r>
      <w:r>
        <w:rPr>
          <w:spacing w:val="54"/>
        </w:rPr>
        <w:t> </w:t>
      </w:r>
      <w:r>
        <w:rPr/>
        <w:t>Ciudad</w:t>
      </w:r>
      <w:r>
        <w:rPr>
          <w:spacing w:val="56"/>
        </w:rPr>
        <w:t> </w:t>
      </w:r>
      <w:r>
        <w:rPr/>
        <w:t>de</w:t>
      </w:r>
      <w:r>
        <w:rPr>
          <w:spacing w:val="55"/>
        </w:rPr>
        <w:t> </w:t>
      </w:r>
      <w:r>
        <w:rPr/>
        <w:t>México,</w:t>
      </w:r>
      <w:r>
        <w:rPr>
          <w:spacing w:val="56"/>
        </w:rPr>
        <w:t> </w:t>
      </w:r>
      <w:r>
        <w:rPr/>
        <w:t>a</w:t>
      </w:r>
      <w:r>
        <w:rPr>
          <w:spacing w:val="54"/>
        </w:rPr>
        <w:t> </w:t>
      </w:r>
      <w:r>
        <w:rPr/>
        <w:t>dieciocho</w:t>
      </w:r>
      <w:r>
        <w:rPr>
          <w:spacing w:val="54"/>
        </w:rPr>
        <w:t> </w:t>
      </w:r>
      <w:r>
        <w:rPr/>
        <w:t>de</w:t>
      </w:r>
      <w:r>
        <w:rPr>
          <w:spacing w:val="54"/>
        </w:rPr>
        <w:t> </w:t>
      </w:r>
      <w:r>
        <w:rPr/>
        <w:t>julio</w:t>
      </w:r>
      <w:r>
        <w:rPr>
          <w:spacing w:val="56"/>
        </w:rPr>
        <w:t> </w:t>
      </w:r>
      <w:r>
        <w:rPr/>
        <w:t>de</w:t>
      </w:r>
      <w:r>
        <w:rPr>
          <w:spacing w:val="55"/>
        </w:rPr>
        <w:t> </w:t>
      </w:r>
      <w:r>
        <w:rPr/>
        <w:t>dos</w:t>
      </w:r>
      <w:r>
        <w:rPr>
          <w:spacing w:val="55"/>
        </w:rPr>
        <w:t> </w:t>
      </w:r>
      <w:r>
        <w:rPr/>
        <w:t>mil</w:t>
      </w:r>
    </w:p>
    <w:p>
      <w:pPr>
        <w:pStyle w:val="BodyText"/>
        <w:spacing w:after="0"/>
        <w:jc w:val="both"/>
        <w:sectPr>
          <w:pgSz w:w="12250" w:h="15850"/>
          <w:pgMar w:header="724" w:footer="712" w:top="1880" w:bottom="900" w:left="1417" w:right="1275"/>
        </w:sectPr>
      </w:pPr>
    </w:p>
    <w:p>
      <w:pPr>
        <w:pStyle w:val="BodyText"/>
        <w:spacing w:before="65"/>
      </w:pPr>
    </w:p>
    <w:p>
      <w:pPr>
        <w:spacing w:line="242" w:lineRule="auto" w:before="0"/>
        <w:ind w:left="1" w:right="0" w:firstLine="0"/>
        <w:jc w:val="left"/>
        <w:rPr>
          <w:sz w:val="20"/>
        </w:rPr>
      </w:pPr>
      <w:r>
        <w:rPr>
          <w:sz w:val="20"/>
        </w:rPr>
        <w:t>dieciséis.- </w:t>
      </w:r>
      <w:r>
        <w:rPr>
          <w:rFonts w:ascii="Arial" w:hAnsi="Arial"/>
          <w:b/>
          <w:sz w:val="20"/>
        </w:rPr>
        <w:t>Enrique Peña Nieto</w:t>
      </w:r>
      <w:r>
        <w:rPr>
          <w:sz w:val="20"/>
        </w:rPr>
        <w:t>.- Rúbrica.- El Secretario de Gobernación, </w:t>
      </w:r>
      <w:r>
        <w:rPr>
          <w:rFonts w:ascii="Arial" w:hAnsi="Arial"/>
          <w:b/>
          <w:sz w:val="20"/>
        </w:rPr>
        <w:t>Miguel Ángel Osorio Chong</w:t>
      </w:r>
      <w:r>
        <w:rPr>
          <w:sz w:val="20"/>
        </w:rPr>
        <w:t>.- </w:t>
      </w:r>
      <w:r>
        <w:rPr>
          <w:spacing w:val="-2"/>
          <w:sz w:val="20"/>
        </w:rPr>
        <w:t>Rúbrica.</w:t>
      </w:r>
    </w:p>
    <w:p>
      <w:pPr>
        <w:spacing w:after="0" w:line="242" w:lineRule="auto"/>
        <w:jc w:val="left"/>
        <w:rPr>
          <w:sz w:val="20"/>
        </w:rPr>
        <w:sectPr>
          <w:pgSz w:w="12250" w:h="15850"/>
          <w:pgMar w:header="724" w:footer="712" w:top="1880" w:bottom="900" w:left="1417" w:right="1275"/>
        </w:sectPr>
      </w:pPr>
    </w:p>
    <w:p>
      <w:pPr>
        <w:pStyle w:val="BodyText"/>
        <w:spacing w:before="40"/>
        <w:rPr>
          <w:sz w:val="22"/>
        </w:rPr>
      </w:pPr>
    </w:p>
    <w:p>
      <w:pPr>
        <w:pStyle w:val="Heading2"/>
        <w:ind w:right="153"/>
        <w:jc w:val="left"/>
      </w:pPr>
      <w:r>
        <w:rPr/>
        <w:t>DECRETO por el que se reforman, adicionan y derogan diversas disposiciones de la Ley de Disciplina Financiera de las Entidades Federativas y los Municipios.</w:t>
      </w:r>
    </w:p>
    <w:p>
      <w:pPr>
        <w:spacing w:before="232"/>
        <w:ind w:left="1156" w:right="129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30</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6"/>
        <w:rPr>
          <w:sz w:val="16"/>
        </w:rPr>
      </w:pPr>
    </w:p>
    <w:p>
      <w:pPr>
        <w:pStyle w:val="BodyText"/>
        <w:ind w:left="1" w:right="140" w:firstLine="288"/>
        <w:jc w:val="both"/>
      </w:pPr>
      <w:r>
        <w:rPr>
          <w:rFonts w:ascii="Arial" w:hAnsi="Arial"/>
          <w:b/>
        </w:rPr>
        <w:t>Artículo Segundo.- </w:t>
      </w:r>
      <w:r>
        <w:rPr/>
        <w:t>Se deroga el párrafo segundo del transitorio Noveno del “Decreto por el que se expide la Ley de Disciplina Financiera de las Entidades Federativas y los Municipios, y se reforman, adicionan y derogan diversas disposiciones de las leyes de Coordinación Fiscal, General de Deuda Pública y General de Contabilidad Gubernamental”, publicado en el Diario Oficial de la Federación el 27 de abril de 2016, para quedar como sigue:</w:t>
      </w:r>
    </w:p>
    <w:p>
      <w:pPr>
        <w:pStyle w:val="BodyText"/>
        <w:spacing w:before="3"/>
      </w:pPr>
    </w:p>
    <w:p>
      <w:pPr>
        <w:spacing w:before="0"/>
        <w:ind w:left="289" w:right="0" w:firstLine="0"/>
        <w:jc w:val="left"/>
        <w:rPr>
          <w:sz w:val="20"/>
        </w:rPr>
      </w:pPr>
      <w:r>
        <w:rPr>
          <w:spacing w:val="-5"/>
          <w:sz w:val="20"/>
        </w:rPr>
        <w:t>………</w:t>
      </w:r>
    </w:p>
    <w:p>
      <w:pPr>
        <w:pStyle w:val="Heading2"/>
        <w:spacing w:before="226"/>
        <w:ind w:left="1156" w:right="1293"/>
      </w:pPr>
      <w:r>
        <w:rPr>
          <w:spacing w:val="-2"/>
        </w:rPr>
        <w:t>Transitorios</w:t>
      </w:r>
    </w:p>
    <w:p>
      <w:pPr>
        <w:pStyle w:val="BodyText"/>
        <w:spacing w:before="1"/>
        <w:rPr>
          <w:rFonts w:ascii="Arial"/>
          <w:b/>
        </w:rPr>
      </w:pPr>
    </w:p>
    <w:p>
      <w:pPr>
        <w:pStyle w:val="BodyText"/>
        <w:spacing w:line="242" w:lineRule="auto" w:before="1"/>
        <w:ind w:left="1"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before="224"/>
        <w:ind w:left="1" w:right="143" w:firstLine="288"/>
        <w:jc w:val="both"/>
      </w:pPr>
      <w:r>
        <w:rPr>
          <w:rFonts w:ascii="Arial" w:hAnsi="Arial"/>
          <w:b/>
        </w:rPr>
        <w:t>Segundo.- </w:t>
      </w:r>
      <w:r>
        <w:rPr/>
        <w:t>Los Entes Públicos con Financiamientos u Obligaciones contraídos con anterioridad a la entrada</w:t>
      </w:r>
      <w:r>
        <w:rPr>
          <w:spacing w:val="-1"/>
        </w:rPr>
        <w:t> </w:t>
      </w:r>
      <w:r>
        <w:rPr/>
        <w:t>en</w:t>
      </w:r>
      <w:r>
        <w:rPr>
          <w:spacing w:val="-1"/>
        </w:rPr>
        <w:t> </w:t>
      </w:r>
      <w:r>
        <w:rPr/>
        <w:t>operación</w:t>
      </w:r>
      <w:r>
        <w:rPr>
          <w:spacing w:val="-1"/>
        </w:rPr>
        <w:t> </w:t>
      </w:r>
      <w:r>
        <w:rPr/>
        <w:t>del</w:t>
      </w:r>
      <w:r>
        <w:rPr>
          <w:spacing w:val="-2"/>
        </w:rPr>
        <w:t> </w:t>
      </w:r>
      <w:r>
        <w:rPr/>
        <w:t>Registro Público</w:t>
      </w:r>
      <w:r>
        <w:rPr>
          <w:spacing w:val="-1"/>
        </w:rPr>
        <w:t> </w:t>
      </w:r>
      <w:r>
        <w:rPr/>
        <w:t>Único, deberán</w:t>
      </w:r>
      <w:r>
        <w:rPr>
          <w:spacing w:val="-2"/>
        </w:rPr>
        <w:t> </w:t>
      </w:r>
      <w:r>
        <w:rPr/>
        <w:t>solicitar su inscripción ante dicho</w:t>
      </w:r>
      <w:r>
        <w:rPr>
          <w:spacing w:val="-1"/>
        </w:rPr>
        <w:t> </w:t>
      </w:r>
      <w:r>
        <w:rPr/>
        <w:t>Registro para lo cual contarán con un plazo de seis meses contado a partir de la publicación de este Decreto, para lo cual los Entes Públicos deberán acreditar que se cumplieron los requisitos aplicables de la normatividad vigente en el momento de su contratación.</w:t>
      </w:r>
    </w:p>
    <w:p>
      <w:pPr>
        <w:pStyle w:val="BodyText"/>
      </w:pPr>
    </w:p>
    <w:p>
      <w:pPr>
        <w:pStyle w:val="BodyText"/>
        <w:spacing w:line="242" w:lineRule="auto"/>
        <w:ind w:left="1" w:right="141" w:firstLine="288"/>
        <w:jc w:val="both"/>
      </w:pPr>
      <w:r>
        <w:rPr>
          <w:rFonts w:ascii="Arial" w:hAnsi="Arial"/>
          <w:b/>
        </w:rPr>
        <w:t>Tercero.- </w:t>
      </w:r>
      <w:r>
        <w:rPr/>
        <w:t>La Secretaría de Hacienda y Crédito Público, publicará en su página oficial de Internet la medición inicial del Sistema de Alertas para Municipios a más tardar el último día hábil de julio de 2018, con base en la información de su Cuenta Pública 2017. Esta medición determinará el Techo de Financiamiento Neto al cual podrán acceder durante el ejercicio fiscal 2019.</w:t>
      </w:r>
    </w:p>
    <w:p>
      <w:pPr>
        <w:pStyle w:val="BodyText"/>
        <w:spacing w:before="223"/>
        <w:ind w:left="1" w:right="141" w:firstLine="288"/>
        <w:jc w:val="both"/>
      </w:pPr>
      <w:r>
        <w:rPr/>
        <w:t>En el caso de los Entes Públicos distintos a la administración pública centralizada de las Entidades Federativas y</w:t>
      </w:r>
      <w:r>
        <w:rPr>
          <w:spacing w:val="-2"/>
        </w:rPr>
        <w:t> </w:t>
      </w:r>
      <w:r>
        <w:rPr/>
        <w:t>los Municipios,</w:t>
      </w:r>
      <w:r>
        <w:rPr>
          <w:spacing w:val="-1"/>
        </w:rPr>
        <w:t> </w:t>
      </w:r>
      <w:r>
        <w:rPr/>
        <w:t>la Secretaría publicará en</w:t>
      </w:r>
      <w:r>
        <w:rPr>
          <w:spacing w:val="-1"/>
        </w:rPr>
        <w:t> </w:t>
      </w:r>
      <w:r>
        <w:rPr/>
        <w:t>su página oficial de Internet la medición inicial del Sistema de Alertas a más tardar el último día hábil de agosto de 2019, con base en la información de su Cuenta Pública 2018. Esta medición determinará el Techo de Financiamiento Neto al cual podrán</w:t>
      </w:r>
      <w:r>
        <w:rPr>
          <w:spacing w:val="40"/>
        </w:rPr>
        <w:t> </w:t>
      </w:r>
      <w:r>
        <w:rPr/>
        <w:t>acceder durante el ejercicio fiscal 2020.</w:t>
      </w:r>
    </w:p>
    <w:p>
      <w:pPr>
        <w:pStyle w:val="BodyText"/>
        <w:spacing w:line="242" w:lineRule="auto" w:before="228"/>
        <w:ind w:left="1" w:right="142" w:firstLine="288"/>
        <w:jc w:val="both"/>
      </w:pPr>
      <w:r>
        <w:rPr>
          <w:rFonts w:ascii="Arial" w:hAnsi="Arial"/>
          <w:b/>
        </w:rPr>
        <w:t>Cuarto.- </w:t>
      </w:r>
      <w:r>
        <w:rPr/>
        <w:t>En lo correspondiente al segundo párrafo del artículo 14 de la Ley de Disciplina Financiera</w:t>
      </w:r>
      <w:r>
        <w:rPr>
          <w:spacing w:val="40"/>
        </w:rPr>
        <w:t> </w:t>
      </w:r>
      <w:r>
        <w:rPr/>
        <w:t>de las Entidades Federativas y los Municipios, adicionalmente podrán destinarse a Gasto corriente hasta el ejercicio fiscal 2018 los Ingresos excedentes derivados de Ingresos de libre disposición, siempre y cuando la Entidad Federativa se clasifique en un nivel de endeudamiento sostenible de acuerdo al Sistema de Alertas.</w:t>
      </w:r>
    </w:p>
    <w:p>
      <w:pPr>
        <w:pStyle w:val="BodyText"/>
        <w:spacing w:before="222"/>
        <w:ind w:left="1" w:right="141" w:firstLine="288"/>
        <w:jc w:val="both"/>
      </w:pPr>
      <w:r>
        <w:rPr/>
        <w:t>El tercer párrafo del artículo 14 de la Ley de Disciplina Financiera de las Entidades Federativas y los Municipios, entrará en vigor a partir del ejercicio fiscal 2019.</w:t>
      </w:r>
    </w:p>
    <w:p>
      <w:pPr>
        <w:pStyle w:val="BodyText"/>
        <w:spacing w:before="1"/>
      </w:pPr>
    </w:p>
    <w:p>
      <w:pPr>
        <w:pStyle w:val="BodyText"/>
        <w:ind w:left="1" w:right="141" w:firstLine="288"/>
        <w:jc w:val="both"/>
      </w:pPr>
      <w:r>
        <w:rPr/>
        <w:t>Para efectos del cuarto párrafo del artículo 14 de la Ley de Disciplina Financiera de las Entidades Federativas y los Municipios, sólo se considerarán los Ingresos de libre disposición destinados a un fin específico en términos de las leyes que a la fecha de la entrada en vigor del presente Decreto se encuentren vigentes.</w:t>
      </w:r>
    </w:p>
    <w:p>
      <w:pPr>
        <w:spacing w:before="227"/>
        <w:ind w:left="1" w:right="139" w:firstLine="288"/>
        <w:jc w:val="both"/>
        <w:rPr>
          <w:rFonts w:ascii="Arial" w:hAnsi="Arial"/>
          <w:b/>
          <w:sz w:val="20"/>
        </w:rPr>
      </w:pPr>
      <w:r>
        <w:rPr>
          <w:sz w:val="20"/>
        </w:rPr>
        <w:t>Ciudad de México, a 13 de diciembre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Juan G. Flores Ramírez</w:t>
      </w:r>
      <w:r>
        <w:rPr>
          <w:sz w:val="20"/>
        </w:rPr>
        <w:t>, Secretario.- Rúbricas.</w:t>
      </w:r>
      <w:r>
        <w:rPr>
          <w:rFonts w:ascii="Arial" w:hAnsi="Arial"/>
          <w:b/>
          <w:sz w:val="20"/>
        </w:rPr>
        <w:t>"</w:t>
      </w:r>
    </w:p>
    <w:p>
      <w:pPr>
        <w:spacing w:after="0"/>
        <w:jc w:val="both"/>
        <w:rPr>
          <w:rFonts w:ascii="Arial" w:hAnsi="Arial"/>
          <w:b/>
          <w:sz w:val="20"/>
        </w:rPr>
        <w:sectPr>
          <w:pgSz w:w="12250" w:h="15850"/>
          <w:pgMar w:header="724" w:footer="712" w:top="1880" w:bottom="900" w:left="1417" w:right="1275"/>
        </w:sectPr>
      </w:pPr>
    </w:p>
    <w:p>
      <w:pPr>
        <w:pStyle w:val="BodyText"/>
        <w:spacing w:before="67"/>
        <w:rPr>
          <w:rFonts w:ascii="Arial"/>
          <w:b/>
        </w:rPr>
      </w:pPr>
    </w:p>
    <w:p>
      <w:pPr>
        <w:pStyle w:val="BodyText"/>
        <w:ind w:left="1"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veintinueve de enero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50" w:h="15850"/>
          <w:pgMar w:header="724" w:footer="712" w:top="1880" w:bottom="900" w:left="1417" w:right="1275"/>
        </w:sectPr>
      </w:pPr>
    </w:p>
    <w:p>
      <w:pPr>
        <w:pStyle w:val="BodyText"/>
        <w:spacing w:before="40"/>
        <w:rPr>
          <w:sz w:val="22"/>
        </w:rPr>
      </w:pPr>
    </w:p>
    <w:p>
      <w:pPr>
        <w:pStyle w:val="Heading2"/>
        <w:ind w:right="140"/>
        <w:jc w:val="both"/>
      </w:pPr>
      <w:r>
        <w:rPr/>
        <w:t>DECRETO por el que se reforman, adicionan y derogan diversas disposiciones de la Ley de Coordinación</w:t>
      </w:r>
      <w:r>
        <w:rPr>
          <w:spacing w:val="-2"/>
        </w:rPr>
        <w:t> </w:t>
      </w:r>
      <w:r>
        <w:rPr/>
        <w:t>Fiscal y</w:t>
      </w:r>
      <w:r>
        <w:rPr>
          <w:spacing w:val="-4"/>
        </w:rPr>
        <w:t> </w:t>
      </w:r>
      <w:r>
        <w:rPr/>
        <w:t>de la Ley</w:t>
      </w:r>
      <w:r>
        <w:rPr>
          <w:spacing w:val="-4"/>
        </w:rPr>
        <w:t> </w:t>
      </w:r>
      <w:r>
        <w:rPr/>
        <w:t>General de</w:t>
      </w:r>
      <w:r>
        <w:rPr>
          <w:spacing w:val="-2"/>
        </w:rPr>
        <w:t> </w:t>
      </w:r>
      <w:r>
        <w:rPr/>
        <w:t>Salud, para consolidar</w:t>
      </w:r>
      <w:r>
        <w:rPr>
          <w:spacing w:val="-1"/>
        </w:rPr>
        <w:t> </w:t>
      </w:r>
      <w:r>
        <w:rPr/>
        <w:t>la</w:t>
      </w:r>
      <w:r>
        <w:rPr>
          <w:spacing w:val="-2"/>
        </w:rPr>
        <w:t> </w:t>
      </w:r>
      <w:r>
        <w:rPr/>
        <w:t>federalización del sistema de salud para el bienestar.</w:t>
      </w:r>
    </w:p>
    <w:p>
      <w:pPr>
        <w:spacing w:before="233"/>
        <w:ind w:left="1156" w:right="129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3</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2024</w:t>
      </w:r>
    </w:p>
    <w:p>
      <w:pPr>
        <w:pStyle w:val="BodyText"/>
        <w:spacing w:before="44"/>
        <w:rPr>
          <w:sz w:val="16"/>
        </w:rPr>
      </w:pPr>
    </w:p>
    <w:p>
      <w:pPr>
        <w:pStyle w:val="BodyText"/>
        <w:spacing w:line="242" w:lineRule="auto"/>
        <w:ind w:left="1" w:firstLine="288"/>
      </w:pPr>
      <w:r>
        <w:rPr>
          <w:rFonts w:ascii="Arial" w:hAnsi="Arial"/>
          <w:b/>
        </w:rPr>
        <w:t>Artículo Primero.- </w:t>
      </w:r>
      <w:r>
        <w:rPr/>
        <w:t>Se reforma el artículo 29; y se adicionan dos últimos párrafos al artículo 25 y dos últimos párrafos al artículo 30 de la Ley de Coordinación Fiscal, para quedar como sigue:</w:t>
      </w:r>
    </w:p>
    <w:p>
      <w:pPr>
        <w:spacing w:before="229"/>
        <w:ind w:left="289" w:right="0" w:firstLine="0"/>
        <w:jc w:val="left"/>
        <w:rPr>
          <w:sz w:val="20"/>
        </w:rPr>
      </w:pPr>
      <w:r>
        <w:rPr>
          <w:spacing w:val="-5"/>
          <w:sz w:val="20"/>
        </w:rPr>
        <w:t>………</w:t>
      </w:r>
    </w:p>
    <w:p>
      <w:pPr>
        <w:pStyle w:val="Heading2"/>
        <w:spacing w:before="227"/>
        <w:ind w:left="1156" w:right="1293"/>
      </w:pPr>
      <w:r>
        <w:rPr>
          <w:spacing w:val="-2"/>
        </w:rPr>
        <w:t>Transitorios</w:t>
      </w:r>
    </w:p>
    <w:p>
      <w:pPr>
        <w:pStyle w:val="BodyText"/>
        <w:spacing w:before="1"/>
        <w:rPr>
          <w:rFonts w:ascii="Arial"/>
          <w:b/>
        </w:rPr>
      </w:pPr>
    </w:p>
    <w:p>
      <w:pPr>
        <w:pStyle w:val="BodyText"/>
        <w:spacing w:line="242" w:lineRule="auto"/>
        <w:ind w:left="1"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before="224"/>
        <w:ind w:left="1" w:right="144" w:firstLine="288"/>
        <w:jc w:val="both"/>
      </w:pPr>
      <w:r>
        <w:rPr>
          <w:rFonts w:ascii="Arial" w:hAnsi="Arial"/>
          <w:b/>
        </w:rPr>
        <w:t>Segundo. </w:t>
      </w:r>
      <w:r>
        <w:rPr/>
        <w:t>Para dar cumplimiento a lo previsto en el presente Decreto, quedarán sin efectos los Acuerdos de Coordinación para la Descentralización Integral de los Servicios de Salud en aquellas entidades federativas que hayan suscrito o que suscriban el Convenio de Coordinación con Servicios de Salud del Instituto Mexicano del Seguro Social para el Bienestar (IMSS-BIENESTAR) a que se refieren</w:t>
      </w:r>
      <w:r>
        <w:rPr>
          <w:spacing w:val="40"/>
        </w:rPr>
        <w:t> </w:t>
      </w:r>
      <w:r>
        <w:rPr/>
        <w:t>los artículos 77 bis 6</w:t>
      </w:r>
      <w:r>
        <w:rPr>
          <w:spacing w:val="40"/>
        </w:rPr>
        <w:t> </w:t>
      </w:r>
      <w:r>
        <w:rPr/>
        <w:t>y 77 bis 16 A de la Ley General de Salud.</w:t>
      </w:r>
    </w:p>
    <w:p>
      <w:pPr>
        <w:pStyle w:val="BodyText"/>
      </w:pPr>
    </w:p>
    <w:p>
      <w:pPr>
        <w:pStyle w:val="BodyText"/>
        <w:spacing w:before="1"/>
        <w:ind w:left="1" w:right="142" w:firstLine="288"/>
        <w:jc w:val="both"/>
      </w:pPr>
      <w:r>
        <w:rPr>
          <w:rFonts w:ascii="Arial" w:hAnsi="Arial"/>
          <w:b/>
        </w:rPr>
        <w:t>Tercero. </w:t>
      </w:r>
      <w:r>
        <w:rPr/>
        <w:t>Por lo que respecta al ejercicio fiscal 2024, Servicios de Salud del Instituto Mexicano del Seguro Social para el Bienestar (IMSS-BIENESTAR) a más tardar el 31 de marzo de 2024 deberá</w:t>
      </w:r>
      <w:r>
        <w:rPr>
          <w:spacing w:val="40"/>
        </w:rPr>
        <w:t> </w:t>
      </w:r>
      <w:r>
        <w:rPr/>
        <w:t>realizar las conciliaciones respectivas, contar con la opinión de la Secretaría de Hacienda y Crédito Público, y modificar los convenios de coordinación que haya suscrito en el ejercicio fiscal 2023 con las entidades federativas en términos del artículo 77 bis 16 A de la Ley General de Salud, a efecto de adecuarlos a lo previsto en el presente Decreto.</w:t>
      </w:r>
      <w:r>
        <w:rPr>
          <w:spacing w:val="-1"/>
        </w:rPr>
        <w:t> </w:t>
      </w:r>
      <w:r>
        <w:rPr/>
        <w:t>Una vez</w:t>
      </w:r>
      <w:r>
        <w:rPr>
          <w:spacing w:val="-2"/>
        </w:rPr>
        <w:t> </w:t>
      </w:r>
      <w:r>
        <w:rPr/>
        <w:t>modificados dichos convenios,</w:t>
      </w:r>
      <w:r>
        <w:rPr>
          <w:spacing w:val="-1"/>
        </w:rPr>
        <w:t> </w:t>
      </w:r>
      <w:r>
        <w:rPr/>
        <w:t>deberá gestionar en términos de las disposiciones aplicables ante la Secretaría de Salud y la Secretaría de Hacienda y Crédito Público las adecuaciones presupuestarias respectivas con objeto de llevar a cabo el traspaso de recursos que correspondan del Ramo General 33 a Servicios de Salud del Instituto Mexicano del Seguro Social para el Bienestar (IMSS-BIENESTAR), quedando la Secretaría de Hacienda y Crédito Público facultada para autorizar las adecuaciones correspondientes.</w:t>
      </w:r>
    </w:p>
    <w:p>
      <w:pPr>
        <w:pStyle w:val="BodyText"/>
        <w:spacing w:before="2"/>
      </w:pPr>
    </w:p>
    <w:p>
      <w:pPr>
        <w:pStyle w:val="BodyText"/>
        <w:spacing w:before="1"/>
        <w:ind w:left="1" w:right="139" w:firstLine="288"/>
        <w:jc w:val="both"/>
      </w:pPr>
      <w:r>
        <w:rPr/>
        <w:t>En este caso, Servicios de Salud del Instituto Mexicano del Seguro Social para el Bienestar (IMSS- BIENESTAR), será responsable del ejercicio, administración, aplicación, comprobación, transparencia, y rendición de cuentas de estos recursos.</w:t>
      </w:r>
    </w:p>
    <w:p>
      <w:pPr>
        <w:pStyle w:val="BodyText"/>
        <w:spacing w:before="226"/>
        <w:ind w:left="1" w:right="145" w:firstLine="288"/>
        <w:jc w:val="both"/>
      </w:pPr>
      <w:r>
        <w:rPr>
          <w:rFonts w:ascii="Arial" w:hAnsi="Arial"/>
          <w:b/>
        </w:rPr>
        <w:t>Cuarto. </w:t>
      </w:r>
      <w:r>
        <w:rPr/>
        <w:t>Las entidades federativas que suscriban los convenios de coordinación a que se refiere el artículo 77 bis 16 A de la Ley General de Salud continuarán recibiendo los recursos del Fondo de Aportaciones para los Servicios de Salud vinculados a los trabajadores que cuenten con regímenes de seguridad social no compatibles con la Ley del Seguro Social y la Ley del Instituto de Seguridad y Servicios Sociales de los Trabajadores del Estado. Las entidades federativas deberán transferir dichos recursos junto con los rendimientos financieros que se hayan generado, al fideicomiso público sin estructura orgánica a que hace mención el artículo 77 bis 29 de la Ley General de Salud dentro de los cinco</w:t>
      </w:r>
      <w:r>
        <w:rPr>
          <w:spacing w:val="-1"/>
        </w:rPr>
        <w:t> </w:t>
      </w:r>
      <w:r>
        <w:rPr/>
        <w:t>días hábiles contados a</w:t>
      </w:r>
      <w:r>
        <w:rPr>
          <w:spacing w:val="-1"/>
        </w:rPr>
        <w:t> </w:t>
      </w:r>
      <w:r>
        <w:rPr/>
        <w:t>partir del día hábil</w:t>
      </w:r>
      <w:r>
        <w:rPr>
          <w:spacing w:val="-2"/>
        </w:rPr>
        <w:t> </w:t>
      </w:r>
      <w:r>
        <w:rPr/>
        <w:t>siguiente al que los reciban por parte de la Secretaría de Hacienda y</w:t>
      </w:r>
      <w:r>
        <w:rPr>
          <w:spacing w:val="-6"/>
        </w:rPr>
        <w:t> </w:t>
      </w:r>
      <w:r>
        <w:rPr/>
        <w:t>Crédito</w:t>
      </w:r>
      <w:r>
        <w:rPr>
          <w:spacing w:val="-1"/>
        </w:rPr>
        <w:t> </w:t>
      </w:r>
      <w:r>
        <w:rPr/>
        <w:t>Público,</w:t>
      </w:r>
      <w:r>
        <w:rPr>
          <w:spacing w:val="-3"/>
        </w:rPr>
        <w:t> </w:t>
      </w:r>
      <w:r>
        <w:rPr/>
        <w:t>lo</w:t>
      </w:r>
      <w:r>
        <w:rPr>
          <w:spacing w:val="-1"/>
        </w:rPr>
        <w:t> </w:t>
      </w:r>
      <w:r>
        <w:rPr/>
        <w:t>anterior</w:t>
      </w:r>
      <w:r>
        <w:rPr>
          <w:spacing w:val="-2"/>
        </w:rPr>
        <w:t> </w:t>
      </w:r>
      <w:r>
        <w:rPr/>
        <w:t>para</w:t>
      </w:r>
      <w:r>
        <w:rPr>
          <w:spacing w:val="-3"/>
        </w:rPr>
        <w:t> </w:t>
      </w:r>
      <w:r>
        <w:rPr/>
        <w:t>efectos</w:t>
      </w:r>
      <w:r>
        <w:rPr>
          <w:spacing w:val="-2"/>
        </w:rPr>
        <w:t> </w:t>
      </w:r>
      <w:r>
        <w:rPr/>
        <w:t>de</w:t>
      </w:r>
      <w:r>
        <w:rPr>
          <w:spacing w:val="-1"/>
        </w:rPr>
        <w:t> </w:t>
      </w:r>
      <w:r>
        <w:rPr/>
        <w:t>lo</w:t>
      </w:r>
      <w:r>
        <w:rPr>
          <w:spacing w:val="-1"/>
        </w:rPr>
        <w:t> </w:t>
      </w:r>
      <w:r>
        <w:rPr/>
        <w:t>previsto</w:t>
      </w:r>
      <w:r>
        <w:rPr>
          <w:spacing w:val="-1"/>
        </w:rPr>
        <w:t> </w:t>
      </w:r>
      <w:r>
        <w:rPr/>
        <w:t>en</w:t>
      </w:r>
      <w:r>
        <w:rPr>
          <w:spacing w:val="-4"/>
        </w:rPr>
        <w:t> </w:t>
      </w:r>
      <w:r>
        <w:rPr/>
        <w:t>el</w:t>
      </w:r>
      <w:r>
        <w:rPr>
          <w:spacing w:val="-4"/>
        </w:rPr>
        <w:t> </w:t>
      </w:r>
      <w:r>
        <w:rPr/>
        <w:t>artículo</w:t>
      </w:r>
      <w:r>
        <w:rPr>
          <w:spacing w:val="-1"/>
        </w:rPr>
        <w:t> </w:t>
      </w:r>
      <w:r>
        <w:rPr/>
        <w:t>49,</w:t>
      </w:r>
      <w:r>
        <w:rPr>
          <w:spacing w:val="-3"/>
        </w:rPr>
        <w:t> </w:t>
      </w:r>
      <w:r>
        <w:rPr/>
        <w:t>segundo</w:t>
      </w:r>
      <w:r>
        <w:rPr>
          <w:spacing w:val="-2"/>
        </w:rPr>
        <w:t> </w:t>
      </w:r>
      <w:r>
        <w:rPr/>
        <w:t>párrafo,</w:t>
      </w:r>
      <w:r>
        <w:rPr>
          <w:spacing w:val="-3"/>
        </w:rPr>
        <w:t> </w:t>
      </w:r>
      <w:r>
        <w:rPr/>
        <w:t>de</w:t>
      </w:r>
      <w:r>
        <w:rPr>
          <w:spacing w:val="-2"/>
        </w:rPr>
        <w:t> </w:t>
      </w:r>
      <w:r>
        <w:rPr/>
        <w:t>la Ley de Coordinación Fiscal. Dichos recursos deberán encontrarse identificados en el Fondo referido en subcuentas individuales correspondientes a cada entidad federativa.</w:t>
      </w:r>
    </w:p>
    <w:p>
      <w:pPr>
        <w:pStyle w:val="BodyText"/>
        <w:spacing w:before="3"/>
      </w:pPr>
    </w:p>
    <w:p>
      <w:pPr>
        <w:pStyle w:val="BodyText"/>
        <w:spacing w:before="1"/>
        <w:ind w:left="1" w:right="144" w:firstLine="288"/>
        <w:jc w:val="both"/>
      </w:pPr>
      <w:r>
        <w:rPr/>
        <w:t>Las entidades federativas comprobarán el ejercicio de los recursos del Fondo de Aportaciones para</w:t>
      </w:r>
      <w:r>
        <w:rPr>
          <w:spacing w:val="40"/>
        </w:rPr>
        <w:t> </w:t>
      </w:r>
      <w:r>
        <w:rPr/>
        <w:t>los Servicios de Salud y de los intereses respectivos que sean entregados en términos del párrafo anterior, con la documentación que acredite la aportación de los mismos al fideicomiso antes referido, lo</w:t>
      </w:r>
    </w:p>
    <w:p>
      <w:pPr>
        <w:pStyle w:val="BodyText"/>
        <w:spacing w:after="0"/>
        <w:jc w:val="both"/>
        <w:sectPr>
          <w:pgSz w:w="12250" w:h="15850"/>
          <w:pgMar w:header="724" w:footer="712" w:top="1880" w:bottom="900" w:left="1417" w:right="1275"/>
        </w:sectPr>
      </w:pPr>
    </w:p>
    <w:p>
      <w:pPr>
        <w:pStyle w:val="BodyText"/>
        <w:spacing w:before="67"/>
      </w:pPr>
    </w:p>
    <w:p>
      <w:pPr>
        <w:pStyle w:val="BodyText"/>
        <w:ind w:left="1"/>
      </w:pPr>
      <w:r>
        <w:rPr/>
        <w:t>anterior,</w:t>
      </w:r>
      <w:r>
        <w:rPr>
          <w:spacing w:val="62"/>
        </w:rPr>
        <w:t> </w:t>
      </w:r>
      <w:r>
        <w:rPr/>
        <w:t>para</w:t>
      </w:r>
      <w:r>
        <w:rPr>
          <w:spacing w:val="62"/>
        </w:rPr>
        <w:t> </w:t>
      </w:r>
      <w:r>
        <w:rPr/>
        <w:t>efectos</w:t>
      </w:r>
      <w:r>
        <w:rPr>
          <w:spacing w:val="62"/>
        </w:rPr>
        <w:t> </w:t>
      </w:r>
      <w:r>
        <w:rPr/>
        <w:t>de</w:t>
      </w:r>
      <w:r>
        <w:rPr>
          <w:spacing w:val="63"/>
        </w:rPr>
        <w:t> </w:t>
      </w:r>
      <w:r>
        <w:rPr/>
        <w:t>lo</w:t>
      </w:r>
      <w:r>
        <w:rPr>
          <w:spacing w:val="62"/>
        </w:rPr>
        <w:t> </w:t>
      </w:r>
      <w:r>
        <w:rPr/>
        <w:t>establecido</w:t>
      </w:r>
      <w:r>
        <w:rPr>
          <w:spacing w:val="62"/>
        </w:rPr>
        <w:t> </w:t>
      </w:r>
      <w:r>
        <w:rPr/>
        <w:t>en</w:t>
      </w:r>
      <w:r>
        <w:rPr>
          <w:spacing w:val="63"/>
        </w:rPr>
        <w:t> </w:t>
      </w:r>
      <w:r>
        <w:rPr/>
        <w:t>la</w:t>
      </w:r>
      <w:r>
        <w:rPr>
          <w:spacing w:val="64"/>
        </w:rPr>
        <w:t> </w:t>
      </w:r>
      <w:r>
        <w:rPr/>
        <w:t>Ley</w:t>
      </w:r>
      <w:r>
        <w:rPr>
          <w:spacing w:val="61"/>
        </w:rPr>
        <w:t> </w:t>
      </w:r>
      <w:r>
        <w:rPr/>
        <w:t>de</w:t>
      </w:r>
      <w:r>
        <w:rPr>
          <w:spacing w:val="63"/>
        </w:rPr>
        <w:t> </w:t>
      </w:r>
      <w:r>
        <w:rPr/>
        <w:t>Coordinación</w:t>
      </w:r>
      <w:r>
        <w:rPr>
          <w:spacing w:val="62"/>
        </w:rPr>
        <w:t> </w:t>
      </w:r>
      <w:r>
        <w:rPr/>
        <w:t>Fiscal,</w:t>
      </w:r>
      <w:r>
        <w:rPr>
          <w:spacing w:val="64"/>
        </w:rPr>
        <w:t> </w:t>
      </w:r>
      <w:r>
        <w:rPr/>
        <w:t>en</w:t>
      </w:r>
      <w:r>
        <w:rPr>
          <w:spacing w:val="61"/>
        </w:rPr>
        <w:t> </w:t>
      </w:r>
      <w:r>
        <w:rPr/>
        <w:t>la</w:t>
      </w:r>
      <w:r>
        <w:rPr>
          <w:spacing w:val="62"/>
        </w:rPr>
        <w:t> </w:t>
      </w:r>
      <w:r>
        <w:rPr/>
        <w:t>Ley</w:t>
      </w:r>
      <w:r>
        <w:rPr>
          <w:spacing w:val="70"/>
        </w:rPr>
        <w:t> </w:t>
      </w:r>
      <w:r>
        <w:rPr/>
        <w:t>General</w:t>
      </w:r>
      <w:r>
        <w:rPr>
          <w:spacing w:val="61"/>
        </w:rPr>
        <w:t> </w:t>
      </w:r>
      <w:r>
        <w:rPr/>
        <w:t>de Contabilidad Gubernamental, y en las demás disposiciones aplicables.</w:t>
      </w:r>
    </w:p>
    <w:p>
      <w:pPr>
        <w:pStyle w:val="BodyText"/>
        <w:spacing w:line="242" w:lineRule="auto" w:before="227"/>
        <w:ind w:left="1" w:right="141" w:firstLine="288"/>
        <w:jc w:val="both"/>
      </w:pPr>
      <w:r>
        <w:rPr>
          <w:rFonts w:ascii="Arial" w:hAnsi="Arial"/>
          <w:b/>
        </w:rPr>
        <w:t>Quinto. </w:t>
      </w:r>
      <w:r>
        <w:rPr/>
        <w:t>En términos de los convenios de coordinación a que se refiere el artículo 77 bis</w:t>
      </w:r>
      <w:r>
        <w:rPr>
          <w:spacing w:val="21"/>
        </w:rPr>
        <w:t> </w:t>
      </w:r>
      <w:r>
        <w:rPr/>
        <w:t>16 A de la</w:t>
      </w:r>
      <w:r>
        <w:rPr>
          <w:spacing w:val="40"/>
        </w:rPr>
        <w:t> </w:t>
      </w:r>
      <w:r>
        <w:rPr/>
        <w:t>Ley General de Salud, las entidades federativas continuarán entregando los recursos propios para la prestación de los servicios de salud al Fondo de Salud para el Bienestar.</w:t>
      </w:r>
    </w:p>
    <w:p>
      <w:pPr>
        <w:pStyle w:val="BodyText"/>
        <w:spacing w:before="225"/>
        <w:ind w:left="1" w:right="140" w:firstLine="288"/>
        <w:jc w:val="both"/>
      </w:pPr>
      <w:r>
        <w:rPr>
          <w:rFonts w:ascii="Arial" w:hAnsi="Arial"/>
          <w:b/>
        </w:rPr>
        <w:t>Sexto. </w:t>
      </w:r>
      <w:r>
        <w:rPr/>
        <w:t>Se faculta a la Secretaría de Hacienda y Crédito Público para realizar las modificaciones que resulten necesarias a los calendarios de gasto a que se refiere el artículo 44, último párrafo de la Ley Federal de Presupuesto y Responsabilidad Hacendaria para dar cumplimiento a lo establecido en el presente Decreto.</w:t>
      </w:r>
    </w:p>
    <w:p>
      <w:pPr>
        <w:pStyle w:val="BodyText"/>
      </w:pPr>
    </w:p>
    <w:p>
      <w:pPr>
        <w:pStyle w:val="BodyText"/>
        <w:ind w:left="1" w:right="149" w:firstLine="288"/>
        <w:jc w:val="both"/>
      </w:pPr>
      <w:r>
        <w:rPr>
          <w:rFonts w:ascii="Arial" w:hAnsi="Arial"/>
          <w:b/>
        </w:rPr>
        <w:t>Séptimo. </w:t>
      </w:r>
      <w:r>
        <w:rPr/>
        <w:t>Los derechos laborales individuales de los trabajadores que con motivo del presente</w:t>
      </w:r>
      <w:r>
        <w:rPr>
          <w:spacing w:val="40"/>
        </w:rPr>
        <w:t> </w:t>
      </w:r>
      <w:r>
        <w:rPr/>
        <w:t>Decreto se transfieran a Servicios de Salud del Instituto Mexicano del Seguro Social para el Bienestar (IMSS-BIENESTAR) serán respetados en términos de las disposiciones aplicables.</w:t>
      </w:r>
    </w:p>
    <w:p>
      <w:pPr>
        <w:pStyle w:val="BodyText"/>
        <w:spacing w:before="229"/>
        <w:ind w:left="1" w:right="142" w:firstLine="288"/>
        <w:jc w:val="both"/>
      </w:pPr>
      <w:r>
        <w:rPr>
          <w:rFonts w:ascii="Arial" w:hAnsi="Arial"/>
          <w:b/>
        </w:rPr>
        <w:t>Octavo. </w:t>
      </w:r>
      <w:r>
        <w:rPr/>
        <w:t>Se faculta a las Dependencias y Entidades de la Administración Pública Federal para que en los ejercicios fiscales subsecuentes realice las adecuaciones presupuestarias necesarias en términos de las disposiciones aplicables, para que los recursos que correspondan del Ramo General 33 se traspasen a Servicios de Salud del Instituto Mexicano del Seguro Social para el Bienestar (IMSS-BIENESTAR) en aquellos casos en que una entidad federativa suscriba el convenio de coordinación a que se refiere el artículo 77 bis 16 A de la Ley General de Salud con fecha posterior a la entrada en vigor del presente </w:t>
      </w:r>
      <w:r>
        <w:rPr>
          <w:spacing w:val="-2"/>
        </w:rPr>
        <w:t>Decreto.</w:t>
      </w:r>
    </w:p>
    <w:p>
      <w:pPr>
        <w:pStyle w:val="BodyText"/>
        <w:spacing w:before="1"/>
      </w:pPr>
    </w:p>
    <w:p>
      <w:pPr>
        <w:pStyle w:val="BodyText"/>
        <w:spacing w:line="242" w:lineRule="auto"/>
        <w:ind w:left="1" w:right="154" w:firstLine="288"/>
        <w:jc w:val="both"/>
      </w:pPr>
      <w:r>
        <w:rPr>
          <w:rFonts w:ascii="Arial" w:hAnsi="Arial"/>
          <w:b/>
        </w:rPr>
        <w:t>Noveno. </w:t>
      </w:r>
      <w:r>
        <w:rPr/>
        <w:t>Las erogaciones que se generen con motivo de la entrada en vigor del presente Decreto, se cubrirán con cargo al presupuesto autorizado de los ejecutores de gasto que correspondan.</w:t>
      </w:r>
    </w:p>
    <w:p>
      <w:pPr>
        <w:spacing w:before="225"/>
        <w:ind w:left="1" w:right="136" w:firstLine="288"/>
        <w:jc w:val="both"/>
        <w:rPr>
          <w:sz w:val="20"/>
        </w:rPr>
      </w:pPr>
      <w:r>
        <w:rPr>
          <w:sz w:val="20"/>
        </w:rPr>
        <w:t>Ciudad de México, a 12 de diciembre de 2023.-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Brenda Espinoza Lopez</w:t>
      </w:r>
      <w:r>
        <w:rPr>
          <w:sz w:val="20"/>
        </w:rPr>
        <w:t>, Secretaria.- Rúbricas."</w:t>
      </w:r>
    </w:p>
    <w:p>
      <w:pPr>
        <w:pStyle w:val="BodyText"/>
        <w:spacing w:before="1"/>
      </w:pPr>
    </w:p>
    <w:p>
      <w:pPr>
        <w:pStyle w:val="BodyText"/>
        <w:ind w:left="1"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27 de diciembre de 2023.- </w:t>
      </w:r>
      <w:r>
        <w:rPr>
          <w:rFonts w:ascii="Arial" w:hAnsi="Arial"/>
          <w:b/>
        </w:rPr>
        <w:t>Andrés Manuel</w:t>
      </w:r>
      <w:r>
        <w:rPr>
          <w:rFonts w:ascii="Arial" w:hAnsi="Arial"/>
          <w:b/>
          <w:spacing w:val="-1"/>
        </w:rPr>
        <w:t> </w:t>
      </w:r>
      <w:r>
        <w:rPr>
          <w:rFonts w:ascii="Arial" w:hAnsi="Arial"/>
          <w:b/>
        </w:rPr>
        <w:t>López Obrador</w:t>
      </w:r>
      <w:r>
        <w:rPr/>
        <w:t>.- Rúbrica.- La Secretaria</w:t>
      </w:r>
      <w:r>
        <w:rPr>
          <w:spacing w:val="-1"/>
        </w:rPr>
        <w:t> </w:t>
      </w:r>
      <w:r>
        <w:rPr/>
        <w:t>de Gobernación, </w:t>
      </w:r>
      <w:r>
        <w:rPr>
          <w:rFonts w:ascii="Arial" w:hAnsi="Arial"/>
          <w:b/>
        </w:rPr>
        <w:t>Luisa</w:t>
      </w:r>
      <w:r>
        <w:rPr>
          <w:rFonts w:ascii="Arial" w:hAnsi="Arial"/>
          <w:b/>
          <w:spacing w:val="-2"/>
        </w:rPr>
        <w:t> </w:t>
      </w:r>
      <w:r>
        <w:rPr>
          <w:rFonts w:ascii="Arial" w:hAnsi="Arial"/>
          <w:b/>
        </w:rPr>
        <w:t>María Alcalde Luján</w:t>
      </w:r>
      <w:r>
        <w:rPr/>
        <w:t>.- Rúbrica.</w:t>
      </w:r>
    </w:p>
    <w:sectPr>
      <w:pgSz w:w="12250" w:h="15850"/>
      <w:pgMar w:header="724" w:footer="712" w:top="1880" w:bottom="90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Math">
    <w:altName w:val="Cambria Math"/>
    <w:charset w:val="1"/>
    <w:family w:val="roman"/>
    <w:pitch w:val="variable"/>
  </w:font>
  <w:font w:name="Symbol">
    <w:altName w:val="Symbol"/>
    <w:charset w:val="2"/>
    <w:family w:val="decorative"/>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18592">
              <wp:simplePos x="0" y="0"/>
              <wp:positionH relativeFrom="page">
                <wp:posOffset>3677539</wp:posOffset>
              </wp:positionH>
              <wp:positionV relativeFrom="page">
                <wp:posOffset>9468357</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98</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539978pt;width:33pt;height:12pt;mso-position-horizontal-relative:page;mso-position-vertical-relative:page;z-index:-16997888"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98</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316032">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316544">
              <wp:simplePos x="0" y="0"/>
              <wp:positionH relativeFrom="page">
                <wp:posOffset>1739138</wp:posOffset>
              </wp:positionH>
              <wp:positionV relativeFrom="page">
                <wp:posOffset>673607</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39993pt;width:407.83pt;height:.48pt;mso-position-horizontal-relative:page;mso-position-vertical-relative:page;z-index:-16999936"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317056">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5536"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7"/>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COORDINACIÓN</w:t>
                          </w:r>
                          <w:r>
                            <w:rPr>
                              <w:rFonts w:ascii="Tahoma" w:hAnsi="Tahoma"/>
                              <w:b/>
                              <w:spacing w:val="-6"/>
                              <w:sz w:val="16"/>
                              <w:u w:val="single"/>
                            </w:rPr>
                            <w:t> </w:t>
                          </w:r>
                          <w:r>
                            <w:rPr>
                              <w:rFonts w:ascii="Tahoma" w:hAnsi="Tahoma"/>
                              <w:b/>
                              <w:spacing w:val="-2"/>
                              <w:sz w:val="16"/>
                              <w:u w:val="single"/>
                            </w:rPr>
                            <w:t>FISCAL</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68pt;width:409.85pt;height:11.75pt;mso-position-horizontal-relative:page;mso-position-vertical-relative:page;z-index:-16999424" type="#_x0000_t202" id="docshape2" filled="false" stroked="false">
              <v:textbox inset="0,0,0,0">
                <w:txbxContent>
                  <w:p>
                    <w:pPr>
                      <w:tabs>
                        <w:tab w:pos="5536"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7"/>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COORDINACIÓN</w:t>
                    </w:r>
                    <w:r>
                      <w:rPr>
                        <w:rFonts w:ascii="Tahoma" w:hAnsi="Tahoma"/>
                        <w:b/>
                        <w:spacing w:val="-6"/>
                        <w:sz w:val="16"/>
                        <w:u w:val="single"/>
                      </w:rPr>
                      <w:t> </w:t>
                    </w:r>
                    <w:r>
                      <w:rPr>
                        <w:rFonts w:ascii="Tahoma" w:hAnsi="Tahoma"/>
                        <w:b/>
                        <w:spacing w:val="-2"/>
                        <w:sz w:val="16"/>
                        <w:u w:val="single"/>
                      </w:rPr>
                      <w:t>FISCAL</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317568">
              <wp:simplePos x="0" y="0"/>
              <wp:positionH relativeFrom="page">
                <wp:posOffset>1726438</wp:posOffset>
              </wp:positionH>
              <wp:positionV relativeFrom="page">
                <wp:posOffset>700133</wp:posOffset>
              </wp:positionV>
              <wp:extent cx="1730375" cy="3168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865"/>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pt;width:136.25pt;height:24.95pt;mso-position-horizontal-relative:page;mso-position-vertical-relative:page;z-index:-16998912"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318080">
              <wp:simplePos x="0" y="0"/>
              <wp:positionH relativeFrom="page">
                <wp:posOffset>5551170</wp:posOffset>
              </wp:positionH>
              <wp:positionV relativeFrom="page">
                <wp:posOffset>701285</wp:posOffset>
              </wp:positionV>
              <wp:extent cx="133350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3500"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03-01-</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100006pt;margin-top:55.219292pt;width:105pt;height:9.8pt;mso-position-horizontal-relative:page;mso-position-vertical-relative:page;z-index:-16998400"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03-01-</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153" w:hanging="432"/>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999" w:hanging="432"/>
      </w:pPr>
      <w:rPr>
        <w:rFonts w:hint="default"/>
        <w:lang w:val="es-ES" w:eastAsia="en-US" w:bidi="ar-SA"/>
      </w:rPr>
    </w:lvl>
    <w:lvl w:ilvl="2">
      <w:start w:val="0"/>
      <w:numFmt w:val="bullet"/>
      <w:lvlText w:val="•"/>
      <w:lvlJc w:val="left"/>
      <w:pPr>
        <w:ind w:left="2838" w:hanging="432"/>
      </w:pPr>
      <w:rPr>
        <w:rFonts w:hint="default"/>
        <w:lang w:val="es-ES" w:eastAsia="en-US" w:bidi="ar-SA"/>
      </w:rPr>
    </w:lvl>
    <w:lvl w:ilvl="3">
      <w:start w:val="0"/>
      <w:numFmt w:val="bullet"/>
      <w:lvlText w:val="•"/>
      <w:lvlJc w:val="left"/>
      <w:pPr>
        <w:ind w:left="3677" w:hanging="432"/>
      </w:pPr>
      <w:rPr>
        <w:rFonts w:hint="default"/>
        <w:lang w:val="es-ES" w:eastAsia="en-US" w:bidi="ar-SA"/>
      </w:rPr>
    </w:lvl>
    <w:lvl w:ilvl="4">
      <w:start w:val="0"/>
      <w:numFmt w:val="bullet"/>
      <w:lvlText w:val="•"/>
      <w:lvlJc w:val="left"/>
      <w:pPr>
        <w:ind w:left="4516" w:hanging="432"/>
      </w:pPr>
      <w:rPr>
        <w:rFonts w:hint="default"/>
        <w:lang w:val="es-ES" w:eastAsia="en-US" w:bidi="ar-SA"/>
      </w:rPr>
    </w:lvl>
    <w:lvl w:ilvl="5">
      <w:start w:val="0"/>
      <w:numFmt w:val="bullet"/>
      <w:lvlText w:val="•"/>
      <w:lvlJc w:val="left"/>
      <w:pPr>
        <w:ind w:left="5355" w:hanging="432"/>
      </w:pPr>
      <w:rPr>
        <w:rFonts w:hint="default"/>
        <w:lang w:val="es-ES" w:eastAsia="en-US" w:bidi="ar-SA"/>
      </w:rPr>
    </w:lvl>
    <w:lvl w:ilvl="6">
      <w:start w:val="0"/>
      <w:numFmt w:val="bullet"/>
      <w:lvlText w:val="•"/>
      <w:lvlJc w:val="left"/>
      <w:pPr>
        <w:ind w:left="6194" w:hanging="432"/>
      </w:pPr>
      <w:rPr>
        <w:rFonts w:hint="default"/>
        <w:lang w:val="es-ES" w:eastAsia="en-US" w:bidi="ar-SA"/>
      </w:rPr>
    </w:lvl>
    <w:lvl w:ilvl="7">
      <w:start w:val="0"/>
      <w:numFmt w:val="bullet"/>
      <w:lvlText w:val="•"/>
      <w:lvlJc w:val="left"/>
      <w:pPr>
        <w:ind w:left="7033" w:hanging="432"/>
      </w:pPr>
      <w:rPr>
        <w:rFonts w:hint="default"/>
        <w:lang w:val="es-ES" w:eastAsia="en-US" w:bidi="ar-SA"/>
      </w:rPr>
    </w:lvl>
    <w:lvl w:ilvl="8">
      <w:start w:val="0"/>
      <w:numFmt w:val="bullet"/>
      <w:lvlText w:val="•"/>
      <w:lvlJc w:val="left"/>
      <w:pPr>
        <w:ind w:left="7872" w:hanging="432"/>
      </w:pPr>
      <w:rPr>
        <w:rFonts w:hint="default"/>
        <w:lang w:val="es-ES" w:eastAsia="en-US" w:bidi="ar-SA"/>
      </w:rPr>
    </w:lvl>
  </w:abstractNum>
  <w:abstractNum w:abstractNumId="23">
    <w:multiLevelType w:val="hybridMultilevel"/>
    <w:lvl w:ilvl="0">
      <w:start w:val="1"/>
      <w:numFmt w:val="upperRoman"/>
      <w:lvlText w:val="%1."/>
      <w:lvlJc w:val="left"/>
      <w:pPr>
        <w:ind w:left="1173" w:hanging="8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17" w:hanging="812"/>
      </w:pPr>
      <w:rPr>
        <w:rFonts w:hint="default"/>
        <w:lang w:val="es-ES" w:eastAsia="en-US" w:bidi="ar-SA"/>
      </w:rPr>
    </w:lvl>
    <w:lvl w:ilvl="2">
      <w:start w:val="0"/>
      <w:numFmt w:val="bullet"/>
      <w:lvlText w:val="•"/>
      <w:lvlJc w:val="left"/>
      <w:pPr>
        <w:ind w:left="2854" w:hanging="812"/>
      </w:pPr>
      <w:rPr>
        <w:rFonts w:hint="default"/>
        <w:lang w:val="es-ES" w:eastAsia="en-US" w:bidi="ar-SA"/>
      </w:rPr>
    </w:lvl>
    <w:lvl w:ilvl="3">
      <w:start w:val="0"/>
      <w:numFmt w:val="bullet"/>
      <w:lvlText w:val="•"/>
      <w:lvlJc w:val="left"/>
      <w:pPr>
        <w:ind w:left="3691" w:hanging="812"/>
      </w:pPr>
      <w:rPr>
        <w:rFonts w:hint="default"/>
        <w:lang w:val="es-ES" w:eastAsia="en-US" w:bidi="ar-SA"/>
      </w:rPr>
    </w:lvl>
    <w:lvl w:ilvl="4">
      <w:start w:val="0"/>
      <w:numFmt w:val="bullet"/>
      <w:lvlText w:val="•"/>
      <w:lvlJc w:val="left"/>
      <w:pPr>
        <w:ind w:left="4528" w:hanging="812"/>
      </w:pPr>
      <w:rPr>
        <w:rFonts w:hint="default"/>
        <w:lang w:val="es-ES" w:eastAsia="en-US" w:bidi="ar-SA"/>
      </w:rPr>
    </w:lvl>
    <w:lvl w:ilvl="5">
      <w:start w:val="0"/>
      <w:numFmt w:val="bullet"/>
      <w:lvlText w:val="•"/>
      <w:lvlJc w:val="left"/>
      <w:pPr>
        <w:ind w:left="5365" w:hanging="812"/>
      </w:pPr>
      <w:rPr>
        <w:rFonts w:hint="default"/>
        <w:lang w:val="es-ES" w:eastAsia="en-US" w:bidi="ar-SA"/>
      </w:rPr>
    </w:lvl>
    <w:lvl w:ilvl="6">
      <w:start w:val="0"/>
      <w:numFmt w:val="bullet"/>
      <w:lvlText w:val="•"/>
      <w:lvlJc w:val="left"/>
      <w:pPr>
        <w:ind w:left="6202" w:hanging="812"/>
      </w:pPr>
      <w:rPr>
        <w:rFonts w:hint="default"/>
        <w:lang w:val="es-ES" w:eastAsia="en-US" w:bidi="ar-SA"/>
      </w:rPr>
    </w:lvl>
    <w:lvl w:ilvl="7">
      <w:start w:val="0"/>
      <w:numFmt w:val="bullet"/>
      <w:lvlText w:val="•"/>
      <w:lvlJc w:val="left"/>
      <w:pPr>
        <w:ind w:left="7039" w:hanging="812"/>
      </w:pPr>
      <w:rPr>
        <w:rFonts w:hint="default"/>
        <w:lang w:val="es-ES" w:eastAsia="en-US" w:bidi="ar-SA"/>
      </w:rPr>
    </w:lvl>
    <w:lvl w:ilvl="8">
      <w:start w:val="0"/>
      <w:numFmt w:val="bullet"/>
      <w:lvlText w:val="•"/>
      <w:lvlJc w:val="left"/>
      <w:pPr>
        <w:ind w:left="7876" w:hanging="812"/>
      </w:pPr>
      <w:rPr>
        <w:rFonts w:hint="default"/>
        <w:lang w:val="es-ES" w:eastAsia="en-US" w:bidi="ar-SA"/>
      </w:rPr>
    </w:lvl>
  </w:abstractNum>
  <w:abstractNum w:abstractNumId="22">
    <w:multiLevelType w:val="hybridMultilevel"/>
    <w:lvl w:ilvl="0">
      <w:start w:val="1"/>
      <w:numFmt w:val="upperRoman"/>
      <w:lvlText w:val="%1."/>
      <w:lvlJc w:val="left"/>
      <w:pPr>
        <w:ind w:left="1009"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41"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41" w:hanging="432"/>
      </w:pPr>
      <w:rPr>
        <w:rFonts w:hint="default"/>
        <w:lang w:val="es-ES" w:eastAsia="en-US" w:bidi="ar-SA"/>
      </w:rPr>
    </w:lvl>
    <w:lvl w:ilvl="3">
      <w:start w:val="0"/>
      <w:numFmt w:val="bullet"/>
      <w:lvlText w:val="•"/>
      <w:lvlJc w:val="left"/>
      <w:pPr>
        <w:ind w:left="3242" w:hanging="432"/>
      </w:pPr>
      <w:rPr>
        <w:rFonts w:hint="default"/>
        <w:lang w:val="es-ES" w:eastAsia="en-US" w:bidi="ar-SA"/>
      </w:rPr>
    </w:lvl>
    <w:lvl w:ilvl="4">
      <w:start w:val="0"/>
      <w:numFmt w:val="bullet"/>
      <w:lvlText w:val="•"/>
      <w:lvlJc w:val="left"/>
      <w:pPr>
        <w:ind w:left="4143" w:hanging="432"/>
      </w:pPr>
      <w:rPr>
        <w:rFonts w:hint="default"/>
        <w:lang w:val="es-ES" w:eastAsia="en-US" w:bidi="ar-SA"/>
      </w:rPr>
    </w:lvl>
    <w:lvl w:ilvl="5">
      <w:start w:val="0"/>
      <w:numFmt w:val="bullet"/>
      <w:lvlText w:val="•"/>
      <w:lvlJc w:val="left"/>
      <w:pPr>
        <w:ind w:left="5044" w:hanging="432"/>
      </w:pPr>
      <w:rPr>
        <w:rFonts w:hint="default"/>
        <w:lang w:val="es-ES" w:eastAsia="en-US" w:bidi="ar-SA"/>
      </w:rPr>
    </w:lvl>
    <w:lvl w:ilvl="6">
      <w:start w:val="0"/>
      <w:numFmt w:val="bullet"/>
      <w:lvlText w:val="•"/>
      <w:lvlJc w:val="left"/>
      <w:pPr>
        <w:ind w:left="5945" w:hanging="432"/>
      </w:pPr>
      <w:rPr>
        <w:rFonts w:hint="default"/>
        <w:lang w:val="es-ES" w:eastAsia="en-US" w:bidi="ar-SA"/>
      </w:rPr>
    </w:lvl>
    <w:lvl w:ilvl="7">
      <w:start w:val="0"/>
      <w:numFmt w:val="bullet"/>
      <w:lvlText w:val="•"/>
      <w:lvlJc w:val="left"/>
      <w:pPr>
        <w:ind w:left="6846" w:hanging="432"/>
      </w:pPr>
      <w:rPr>
        <w:rFonts w:hint="default"/>
        <w:lang w:val="es-ES" w:eastAsia="en-US" w:bidi="ar-SA"/>
      </w:rPr>
    </w:lvl>
    <w:lvl w:ilvl="8">
      <w:start w:val="0"/>
      <w:numFmt w:val="bullet"/>
      <w:lvlText w:val="•"/>
      <w:lvlJc w:val="left"/>
      <w:pPr>
        <w:ind w:left="7748" w:hanging="432"/>
      </w:pPr>
      <w:rPr>
        <w:rFonts w:hint="default"/>
        <w:lang w:val="es-ES" w:eastAsia="en-US" w:bidi="ar-SA"/>
      </w:rPr>
    </w:lvl>
  </w:abstractNum>
  <w:abstractNum w:abstractNumId="21">
    <w:multiLevelType w:val="hybridMultilevel"/>
    <w:lvl w:ilvl="0">
      <w:start w:val="1"/>
      <w:numFmt w:val="upperRoman"/>
      <w:lvlText w:val="%1."/>
      <w:lvlJc w:val="left"/>
      <w:pPr>
        <w:ind w:left="1009"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5" w:hanging="720"/>
      </w:pPr>
      <w:rPr>
        <w:rFonts w:hint="default"/>
        <w:lang w:val="es-ES" w:eastAsia="en-US" w:bidi="ar-SA"/>
      </w:rPr>
    </w:lvl>
    <w:lvl w:ilvl="2">
      <w:start w:val="0"/>
      <w:numFmt w:val="bullet"/>
      <w:lvlText w:val="•"/>
      <w:lvlJc w:val="left"/>
      <w:pPr>
        <w:ind w:left="2710" w:hanging="720"/>
      </w:pPr>
      <w:rPr>
        <w:rFonts w:hint="default"/>
        <w:lang w:val="es-ES" w:eastAsia="en-US" w:bidi="ar-SA"/>
      </w:rPr>
    </w:lvl>
    <w:lvl w:ilvl="3">
      <w:start w:val="0"/>
      <w:numFmt w:val="bullet"/>
      <w:lvlText w:val="•"/>
      <w:lvlJc w:val="left"/>
      <w:pPr>
        <w:ind w:left="3565" w:hanging="720"/>
      </w:pPr>
      <w:rPr>
        <w:rFonts w:hint="default"/>
        <w:lang w:val="es-ES" w:eastAsia="en-US" w:bidi="ar-SA"/>
      </w:rPr>
    </w:lvl>
    <w:lvl w:ilvl="4">
      <w:start w:val="0"/>
      <w:numFmt w:val="bullet"/>
      <w:lvlText w:val="•"/>
      <w:lvlJc w:val="left"/>
      <w:pPr>
        <w:ind w:left="4420" w:hanging="720"/>
      </w:pPr>
      <w:rPr>
        <w:rFonts w:hint="default"/>
        <w:lang w:val="es-ES" w:eastAsia="en-US" w:bidi="ar-SA"/>
      </w:rPr>
    </w:lvl>
    <w:lvl w:ilvl="5">
      <w:start w:val="0"/>
      <w:numFmt w:val="bullet"/>
      <w:lvlText w:val="•"/>
      <w:lvlJc w:val="left"/>
      <w:pPr>
        <w:ind w:left="5275" w:hanging="720"/>
      </w:pPr>
      <w:rPr>
        <w:rFonts w:hint="default"/>
        <w:lang w:val="es-ES" w:eastAsia="en-US" w:bidi="ar-SA"/>
      </w:rPr>
    </w:lvl>
    <w:lvl w:ilvl="6">
      <w:start w:val="0"/>
      <w:numFmt w:val="bullet"/>
      <w:lvlText w:val="•"/>
      <w:lvlJc w:val="left"/>
      <w:pPr>
        <w:ind w:left="6130" w:hanging="720"/>
      </w:pPr>
      <w:rPr>
        <w:rFonts w:hint="default"/>
        <w:lang w:val="es-ES" w:eastAsia="en-US" w:bidi="ar-SA"/>
      </w:rPr>
    </w:lvl>
    <w:lvl w:ilvl="7">
      <w:start w:val="0"/>
      <w:numFmt w:val="bullet"/>
      <w:lvlText w:val="•"/>
      <w:lvlJc w:val="left"/>
      <w:pPr>
        <w:ind w:left="6985" w:hanging="720"/>
      </w:pPr>
      <w:rPr>
        <w:rFonts w:hint="default"/>
        <w:lang w:val="es-ES" w:eastAsia="en-US" w:bidi="ar-SA"/>
      </w:rPr>
    </w:lvl>
    <w:lvl w:ilvl="8">
      <w:start w:val="0"/>
      <w:numFmt w:val="bullet"/>
      <w:lvlText w:val="•"/>
      <w:lvlJc w:val="left"/>
      <w:pPr>
        <w:ind w:left="7840" w:hanging="720"/>
      </w:pPr>
      <w:rPr>
        <w:rFonts w:hint="default"/>
        <w:lang w:val="es-ES" w:eastAsia="en-US" w:bidi="ar-SA"/>
      </w:rPr>
    </w:lvl>
  </w:abstractNum>
  <w:abstractNum w:abstractNumId="20">
    <w:multiLevelType w:val="hybridMultilevel"/>
    <w:lvl w:ilvl="0">
      <w:start w:val="1"/>
      <w:numFmt w:val="upperRoman"/>
      <w:lvlText w:val="%1."/>
      <w:lvlJc w:val="left"/>
      <w:pPr>
        <w:ind w:left="1009"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5" w:hanging="720"/>
      </w:pPr>
      <w:rPr>
        <w:rFonts w:hint="default"/>
        <w:lang w:val="es-ES" w:eastAsia="en-US" w:bidi="ar-SA"/>
      </w:rPr>
    </w:lvl>
    <w:lvl w:ilvl="2">
      <w:start w:val="0"/>
      <w:numFmt w:val="bullet"/>
      <w:lvlText w:val="•"/>
      <w:lvlJc w:val="left"/>
      <w:pPr>
        <w:ind w:left="2710" w:hanging="720"/>
      </w:pPr>
      <w:rPr>
        <w:rFonts w:hint="default"/>
        <w:lang w:val="es-ES" w:eastAsia="en-US" w:bidi="ar-SA"/>
      </w:rPr>
    </w:lvl>
    <w:lvl w:ilvl="3">
      <w:start w:val="0"/>
      <w:numFmt w:val="bullet"/>
      <w:lvlText w:val="•"/>
      <w:lvlJc w:val="left"/>
      <w:pPr>
        <w:ind w:left="3565" w:hanging="720"/>
      </w:pPr>
      <w:rPr>
        <w:rFonts w:hint="default"/>
        <w:lang w:val="es-ES" w:eastAsia="en-US" w:bidi="ar-SA"/>
      </w:rPr>
    </w:lvl>
    <w:lvl w:ilvl="4">
      <w:start w:val="0"/>
      <w:numFmt w:val="bullet"/>
      <w:lvlText w:val="•"/>
      <w:lvlJc w:val="left"/>
      <w:pPr>
        <w:ind w:left="4420" w:hanging="720"/>
      </w:pPr>
      <w:rPr>
        <w:rFonts w:hint="default"/>
        <w:lang w:val="es-ES" w:eastAsia="en-US" w:bidi="ar-SA"/>
      </w:rPr>
    </w:lvl>
    <w:lvl w:ilvl="5">
      <w:start w:val="0"/>
      <w:numFmt w:val="bullet"/>
      <w:lvlText w:val="•"/>
      <w:lvlJc w:val="left"/>
      <w:pPr>
        <w:ind w:left="5275" w:hanging="720"/>
      </w:pPr>
      <w:rPr>
        <w:rFonts w:hint="default"/>
        <w:lang w:val="es-ES" w:eastAsia="en-US" w:bidi="ar-SA"/>
      </w:rPr>
    </w:lvl>
    <w:lvl w:ilvl="6">
      <w:start w:val="0"/>
      <w:numFmt w:val="bullet"/>
      <w:lvlText w:val="•"/>
      <w:lvlJc w:val="left"/>
      <w:pPr>
        <w:ind w:left="6130" w:hanging="720"/>
      </w:pPr>
      <w:rPr>
        <w:rFonts w:hint="default"/>
        <w:lang w:val="es-ES" w:eastAsia="en-US" w:bidi="ar-SA"/>
      </w:rPr>
    </w:lvl>
    <w:lvl w:ilvl="7">
      <w:start w:val="0"/>
      <w:numFmt w:val="bullet"/>
      <w:lvlText w:val="•"/>
      <w:lvlJc w:val="left"/>
      <w:pPr>
        <w:ind w:left="6985" w:hanging="720"/>
      </w:pPr>
      <w:rPr>
        <w:rFonts w:hint="default"/>
        <w:lang w:val="es-ES" w:eastAsia="en-US" w:bidi="ar-SA"/>
      </w:rPr>
    </w:lvl>
    <w:lvl w:ilvl="8">
      <w:start w:val="0"/>
      <w:numFmt w:val="bullet"/>
      <w:lvlText w:val="•"/>
      <w:lvlJc w:val="left"/>
      <w:pPr>
        <w:ind w:left="7840" w:hanging="720"/>
      </w:pPr>
      <w:rPr>
        <w:rFonts w:hint="default"/>
        <w:lang w:val="es-ES" w:eastAsia="en-US" w:bidi="ar-SA"/>
      </w:rPr>
    </w:lvl>
  </w:abstractNum>
  <w:abstractNum w:abstractNumId="19">
    <w:multiLevelType w:val="hybridMultilevel"/>
    <w:lvl w:ilvl="0">
      <w:start w:val="1"/>
      <w:numFmt w:val="upperRoman"/>
      <w:lvlText w:val="%1."/>
      <w:lvlJc w:val="left"/>
      <w:pPr>
        <w:ind w:left="1173" w:hanging="812"/>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1" w:hanging="28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110" w:hanging="288"/>
      </w:pPr>
      <w:rPr>
        <w:rFonts w:hint="default"/>
        <w:lang w:val="es-ES" w:eastAsia="en-US" w:bidi="ar-SA"/>
      </w:rPr>
    </w:lvl>
    <w:lvl w:ilvl="3">
      <w:start w:val="0"/>
      <w:numFmt w:val="bullet"/>
      <w:lvlText w:val="•"/>
      <w:lvlJc w:val="left"/>
      <w:pPr>
        <w:ind w:left="3040" w:hanging="288"/>
      </w:pPr>
      <w:rPr>
        <w:rFonts w:hint="default"/>
        <w:lang w:val="es-ES" w:eastAsia="en-US" w:bidi="ar-SA"/>
      </w:rPr>
    </w:lvl>
    <w:lvl w:ilvl="4">
      <w:start w:val="0"/>
      <w:numFmt w:val="bullet"/>
      <w:lvlText w:val="•"/>
      <w:lvlJc w:val="left"/>
      <w:pPr>
        <w:ind w:left="3970" w:hanging="288"/>
      </w:pPr>
      <w:rPr>
        <w:rFonts w:hint="default"/>
        <w:lang w:val="es-ES" w:eastAsia="en-US" w:bidi="ar-SA"/>
      </w:rPr>
    </w:lvl>
    <w:lvl w:ilvl="5">
      <w:start w:val="0"/>
      <w:numFmt w:val="bullet"/>
      <w:lvlText w:val="•"/>
      <w:lvlJc w:val="left"/>
      <w:pPr>
        <w:ind w:left="4900" w:hanging="288"/>
      </w:pPr>
      <w:rPr>
        <w:rFonts w:hint="default"/>
        <w:lang w:val="es-ES" w:eastAsia="en-US" w:bidi="ar-SA"/>
      </w:rPr>
    </w:lvl>
    <w:lvl w:ilvl="6">
      <w:start w:val="0"/>
      <w:numFmt w:val="bullet"/>
      <w:lvlText w:val="•"/>
      <w:lvlJc w:val="left"/>
      <w:pPr>
        <w:ind w:left="5830" w:hanging="288"/>
      </w:pPr>
      <w:rPr>
        <w:rFonts w:hint="default"/>
        <w:lang w:val="es-ES" w:eastAsia="en-US" w:bidi="ar-SA"/>
      </w:rPr>
    </w:lvl>
    <w:lvl w:ilvl="7">
      <w:start w:val="0"/>
      <w:numFmt w:val="bullet"/>
      <w:lvlText w:val="•"/>
      <w:lvlJc w:val="left"/>
      <w:pPr>
        <w:ind w:left="6760" w:hanging="288"/>
      </w:pPr>
      <w:rPr>
        <w:rFonts w:hint="default"/>
        <w:lang w:val="es-ES" w:eastAsia="en-US" w:bidi="ar-SA"/>
      </w:rPr>
    </w:lvl>
    <w:lvl w:ilvl="8">
      <w:start w:val="0"/>
      <w:numFmt w:val="bullet"/>
      <w:lvlText w:val="•"/>
      <w:lvlJc w:val="left"/>
      <w:pPr>
        <w:ind w:left="7690" w:hanging="288"/>
      </w:pPr>
      <w:rPr>
        <w:rFonts w:hint="default"/>
        <w:lang w:val="es-ES" w:eastAsia="en-US" w:bidi="ar-SA"/>
      </w:rPr>
    </w:lvl>
  </w:abstractNum>
  <w:abstractNum w:abstractNumId="18">
    <w:multiLevelType w:val="hybridMultilevel"/>
    <w:lvl w:ilvl="0">
      <w:start w:val="1"/>
      <w:numFmt w:val="lowerLetter"/>
      <w:lvlText w:val="%1)"/>
      <w:lvlJc w:val="left"/>
      <w:pPr>
        <w:ind w:left="721"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721"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86" w:hanging="432"/>
      </w:pPr>
      <w:rPr>
        <w:rFonts w:hint="default"/>
        <w:lang w:val="es-ES" w:eastAsia="en-US" w:bidi="ar-SA"/>
      </w:rPr>
    </w:lvl>
    <w:lvl w:ilvl="3">
      <w:start w:val="0"/>
      <w:numFmt w:val="bullet"/>
      <w:lvlText w:val="•"/>
      <w:lvlJc w:val="left"/>
      <w:pPr>
        <w:ind w:left="3369" w:hanging="432"/>
      </w:pPr>
      <w:rPr>
        <w:rFonts w:hint="default"/>
        <w:lang w:val="es-ES" w:eastAsia="en-US" w:bidi="ar-SA"/>
      </w:rPr>
    </w:lvl>
    <w:lvl w:ilvl="4">
      <w:start w:val="0"/>
      <w:numFmt w:val="bullet"/>
      <w:lvlText w:val="•"/>
      <w:lvlJc w:val="left"/>
      <w:pPr>
        <w:ind w:left="4252" w:hanging="432"/>
      </w:pPr>
      <w:rPr>
        <w:rFonts w:hint="default"/>
        <w:lang w:val="es-ES" w:eastAsia="en-US" w:bidi="ar-SA"/>
      </w:rPr>
    </w:lvl>
    <w:lvl w:ilvl="5">
      <w:start w:val="0"/>
      <w:numFmt w:val="bullet"/>
      <w:lvlText w:val="•"/>
      <w:lvlJc w:val="left"/>
      <w:pPr>
        <w:ind w:left="5135" w:hanging="432"/>
      </w:pPr>
      <w:rPr>
        <w:rFonts w:hint="default"/>
        <w:lang w:val="es-ES" w:eastAsia="en-US" w:bidi="ar-SA"/>
      </w:rPr>
    </w:lvl>
    <w:lvl w:ilvl="6">
      <w:start w:val="0"/>
      <w:numFmt w:val="bullet"/>
      <w:lvlText w:val="•"/>
      <w:lvlJc w:val="left"/>
      <w:pPr>
        <w:ind w:left="6018" w:hanging="432"/>
      </w:pPr>
      <w:rPr>
        <w:rFonts w:hint="default"/>
        <w:lang w:val="es-ES" w:eastAsia="en-US" w:bidi="ar-SA"/>
      </w:rPr>
    </w:lvl>
    <w:lvl w:ilvl="7">
      <w:start w:val="0"/>
      <w:numFmt w:val="bullet"/>
      <w:lvlText w:val="•"/>
      <w:lvlJc w:val="left"/>
      <w:pPr>
        <w:ind w:left="6901" w:hanging="432"/>
      </w:pPr>
      <w:rPr>
        <w:rFonts w:hint="default"/>
        <w:lang w:val="es-ES" w:eastAsia="en-US" w:bidi="ar-SA"/>
      </w:rPr>
    </w:lvl>
    <w:lvl w:ilvl="8">
      <w:start w:val="0"/>
      <w:numFmt w:val="bullet"/>
      <w:lvlText w:val="•"/>
      <w:lvlJc w:val="left"/>
      <w:pPr>
        <w:ind w:left="7784" w:hanging="432"/>
      </w:pPr>
      <w:rPr>
        <w:rFonts w:hint="default"/>
        <w:lang w:val="es-ES" w:eastAsia="en-US" w:bidi="ar-SA"/>
      </w:rPr>
    </w:lvl>
  </w:abstractNum>
  <w:abstractNum w:abstractNumId="17">
    <w:multiLevelType w:val="hybridMultilevel"/>
    <w:lvl w:ilvl="0">
      <w:start w:val="1"/>
      <w:numFmt w:val="upperRoman"/>
      <w:lvlText w:val="%1."/>
      <w:lvlJc w:val="left"/>
      <w:pPr>
        <w:ind w:left="1353" w:hanging="81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81" w:hanging="629"/>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980" w:hanging="629"/>
      </w:pPr>
      <w:rPr>
        <w:rFonts w:hint="default"/>
        <w:lang w:val="es-ES" w:eastAsia="en-US" w:bidi="ar-SA"/>
      </w:rPr>
    </w:lvl>
    <w:lvl w:ilvl="3">
      <w:start w:val="0"/>
      <w:numFmt w:val="bullet"/>
      <w:lvlText w:val="•"/>
      <w:lvlJc w:val="left"/>
      <w:pPr>
        <w:ind w:left="2926" w:hanging="629"/>
      </w:pPr>
      <w:rPr>
        <w:rFonts w:hint="default"/>
        <w:lang w:val="es-ES" w:eastAsia="en-US" w:bidi="ar-SA"/>
      </w:rPr>
    </w:lvl>
    <w:lvl w:ilvl="4">
      <w:start w:val="0"/>
      <w:numFmt w:val="bullet"/>
      <w:lvlText w:val="•"/>
      <w:lvlJc w:val="left"/>
      <w:pPr>
        <w:ind w:left="3872" w:hanging="629"/>
      </w:pPr>
      <w:rPr>
        <w:rFonts w:hint="default"/>
        <w:lang w:val="es-ES" w:eastAsia="en-US" w:bidi="ar-SA"/>
      </w:rPr>
    </w:lvl>
    <w:lvl w:ilvl="5">
      <w:start w:val="0"/>
      <w:numFmt w:val="bullet"/>
      <w:lvlText w:val="•"/>
      <w:lvlJc w:val="left"/>
      <w:pPr>
        <w:ind w:left="4818" w:hanging="629"/>
      </w:pPr>
      <w:rPr>
        <w:rFonts w:hint="default"/>
        <w:lang w:val="es-ES" w:eastAsia="en-US" w:bidi="ar-SA"/>
      </w:rPr>
    </w:lvl>
    <w:lvl w:ilvl="6">
      <w:start w:val="0"/>
      <w:numFmt w:val="bullet"/>
      <w:lvlText w:val="•"/>
      <w:lvlJc w:val="left"/>
      <w:pPr>
        <w:ind w:left="5765" w:hanging="629"/>
      </w:pPr>
      <w:rPr>
        <w:rFonts w:hint="default"/>
        <w:lang w:val="es-ES" w:eastAsia="en-US" w:bidi="ar-SA"/>
      </w:rPr>
    </w:lvl>
    <w:lvl w:ilvl="7">
      <w:start w:val="0"/>
      <w:numFmt w:val="bullet"/>
      <w:lvlText w:val="•"/>
      <w:lvlJc w:val="left"/>
      <w:pPr>
        <w:ind w:left="6711" w:hanging="629"/>
      </w:pPr>
      <w:rPr>
        <w:rFonts w:hint="default"/>
        <w:lang w:val="es-ES" w:eastAsia="en-US" w:bidi="ar-SA"/>
      </w:rPr>
    </w:lvl>
    <w:lvl w:ilvl="8">
      <w:start w:val="0"/>
      <w:numFmt w:val="bullet"/>
      <w:lvlText w:val="•"/>
      <w:lvlJc w:val="left"/>
      <w:pPr>
        <w:ind w:left="7657" w:hanging="629"/>
      </w:pPr>
      <w:rPr>
        <w:rFonts w:hint="default"/>
        <w:lang w:val="es-ES" w:eastAsia="en-US" w:bidi="ar-SA"/>
      </w:rPr>
    </w:lvl>
  </w:abstractNum>
  <w:abstractNum w:abstractNumId="16">
    <w:multiLevelType w:val="hybridMultilevel"/>
    <w:lvl w:ilvl="0">
      <w:start w:val="1"/>
      <w:numFmt w:val="lowerLetter"/>
      <w:lvlText w:val="%1)"/>
      <w:lvlJc w:val="left"/>
      <w:pPr>
        <w:ind w:left="234" w:hanging="233"/>
        <w:jc w:val="left"/>
      </w:pPr>
      <w:rPr>
        <w:rFonts w:hint="default" w:ascii="Arial MT" w:hAnsi="Arial MT" w:eastAsia="Arial MT" w:cs="Arial MT"/>
        <w:b w:val="0"/>
        <w:bCs w:val="0"/>
        <w:i w:val="0"/>
        <w:iCs w:val="0"/>
        <w:spacing w:val="0"/>
        <w:w w:val="99"/>
        <w:sz w:val="20"/>
        <w:szCs w:val="20"/>
        <w:lang w:val="es-ES" w:eastAsia="en-US" w:bidi="ar-SA"/>
      </w:rPr>
    </w:lvl>
    <w:lvl w:ilvl="1">
      <w:start w:val="1"/>
      <w:numFmt w:val="upperRoman"/>
      <w:lvlText w:val="%2."/>
      <w:lvlJc w:val="left"/>
      <w:pPr>
        <w:ind w:left="1353" w:hanging="81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981" w:hanging="540"/>
      </w:pPr>
      <w:rPr>
        <w:rFonts w:hint="default" w:ascii="Symbol" w:hAnsi="Symbol" w:eastAsia="Symbol" w:cs="Symbol"/>
        <w:b w:val="0"/>
        <w:bCs w:val="0"/>
        <w:i w:val="0"/>
        <w:iCs w:val="0"/>
        <w:spacing w:val="0"/>
        <w:w w:val="100"/>
        <w:sz w:val="18"/>
        <w:szCs w:val="18"/>
        <w:lang w:val="es-ES" w:eastAsia="en-US" w:bidi="ar-SA"/>
      </w:rPr>
    </w:lvl>
    <w:lvl w:ilvl="3">
      <w:start w:val="0"/>
      <w:numFmt w:val="bullet"/>
      <w:lvlText w:val="•"/>
      <w:lvlJc w:val="left"/>
      <w:pPr>
        <w:ind w:left="2926" w:hanging="540"/>
      </w:pPr>
      <w:rPr>
        <w:rFonts w:hint="default"/>
        <w:lang w:val="es-ES" w:eastAsia="en-US" w:bidi="ar-SA"/>
      </w:rPr>
    </w:lvl>
    <w:lvl w:ilvl="4">
      <w:start w:val="0"/>
      <w:numFmt w:val="bullet"/>
      <w:lvlText w:val="•"/>
      <w:lvlJc w:val="left"/>
      <w:pPr>
        <w:ind w:left="3872" w:hanging="540"/>
      </w:pPr>
      <w:rPr>
        <w:rFonts w:hint="default"/>
        <w:lang w:val="es-ES" w:eastAsia="en-US" w:bidi="ar-SA"/>
      </w:rPr>
    </w:lvl>
    <w:lvl w:ilvl="5">
      <w:start w:val="0"/>
      <w:numFmt w:val="bullet"/>
      <w:lvlText w:val="•"/>
      <w:lvlJc w:val="left"/>
      <w:pPr>
        <w:ind w:left="4818" w:hanging="540"/>
      </w:pPr>
      <w:rPr>
        <w:rFonts w:hint="default"/>
        <w:lang w:val="es-ES" w:eastAsia="en-US" w:bidi="ar-SA"/>
      </w:rPr>
    </w:lvl>
    <w:lvl w:ilvl="6">
      <w:start w:val="0"/>
      <w:numFmt w:val="bullet"/>
      <w:lvlText w:val="•"/>
      <w:lvlJc w:val="left"/>
      <w:pPr>
        <w:ind w:left="5765" w:hanging="540"/>
      </w:pPr>
      <w:rPr>
        <w:rFonts w:hint="default"/>
        <w:lang w:val="es-ES" w:eastAsia="en-US" w:bidi="ar-SA"/>
      </w:rPr>
    </w:lvl>
    <w:lvl w:ilvl="7">
      <w:start w:val="0"/>
      <w:numFmt w:val="bullet"/>
      <w:lvlText w:val="•"/>
      <w:lvlJc w:val="left"/>
      <w:pPr>
        <w:ind w:left="6711" w:hanging="540"/>
      </w:pPr>
      <w:rPr>
        <w:rFonts w:hint="default"/>
        <w:lang w:val="es-ES" w:eastAsia="en-US" w:bidi="ar-SA"/>
      </w:rPr>
    </w:lvl>
    <w:lvl w:ilvl="8">
      <w:start w:val="0"/>
      <w:numFmt w:val="bullet"/>
      <w:lvlText w:val="•"/>
      <w:lvlJc w:val="left"/>
      <w:pPr>
        <w:ind w:left="7657" w:hanging="540"/>
      </w:pPr>
      <w:rPr>
        <w:rFonts w:hint="default"/>
        <w:lang w:val="es-ES" w:eastAsia="en-US" w:bidi="ar-SA"/>
      </w:rPr>
    </w:lvl>
  </w:abstractNum>
  <w:abstractNum w:abstractNumId="15">
    <w:multiLevelType w:val="hybridMultilevel"/>
    <w:lvl w:ilvl="0">
      <w:start w:val="1"/>
      <w:numFmt w:val="lowerLetter"/>
      <w:lvlText w:val="%1)"/>
      <w:lvlJc w:val="left"/>
      <w:pPr>
        <w:ind w:left="1" w:hanging="269"/>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955" w:hanging="269"/>
      </w:pPr>
      <w:rPr>
        <w:rFonts w:hint="default"/>
        <w:lang w:val="es-ES" w:eastAsia="en-US" w:bidi="ar-SA"/>
      </w:rPr>
    </w:lvl>
    <w:lvl w:ilvl="2">
      <w:start w:val="0"/>
      <w:numFmt w:val="bullet"/>
      <w:lvlText w:val="•"/>
      <w:lvlJc w:val="left"/>
      <w:pPr>
        <w:ind w:left="1910" w:hanging="269"/>
      </w:pPr>
      <w:rPr>
        <w:rFonts w:hint="default"/>
        <w:lang w:val="es-ES" w:eastAsia="en-US" w:bidi="ar-SA"/>
      </w:rPr>
    </w:lvl>
    <w:lvl w:ilvl="3">
      <w:start w:val="0"/>
      <w:numFmt w:val="bullet"/>
      <w:lvlText w:val="•"/>
      <w:lvlJc w:val="left"/>
      <w:pPr>
        <w:ind w:left="2865" w:hanging="269"/>
      </w:pPr>
      <w:rPr>
        <w:rFonts w:hint="default"/>
        <w:lang w:val="es-ES" w:eastAsia="en-US" w:bidi="ar-SA"/>
      </w:rPr>
    </w:lvl>
    <w:lvl w:ilvl="4">
      <w:start w:val="0"/>
      <w:numFmt w:val="bullet"/>
      <w:lvlText w:val="•"/>
      <w:lvlJc w:val="left"/>
      <w:pPr>
        <w:ind w:left="3820" w:hanging="269"/>
      </w:pPr>
      <w:rPr>
        <w:rFonts w:hint="default"/>
        <w:lang w:val="es-ES" w:eastAsia="en-US" w:bidi="ar-SA"/>
      </w:rPr>
    </w:lvl>
    <w:lvl w:ilvl="5">
      <w:start w:val="0"/>
      <w:numFmt w:val="bullet"/>
      <w:lvlText w:val="•"/>
      <w:lvlJc w:val="left"/>
      <w:pPr>
        <w:ind w:left="4775" w:hanging="269"/>
      </w:pPr>
      <w:rPr>
        <w:rFonts w:hint="default"/>
        <w:lang w:val="es-ES" w:eastAsia="en-US" w:bidi="ar-SA"/>
      </w:rPr>
    </w:lvl>
    <w:lvl w:ilvl="6">
      <w:start w:val="0"/>
      <w:numFmt w:val="bullet"/>
      <w:lvlText w:val="•"/>
      <w:lvlJc w:val="left"/>
      <w:pPr>
        <w:ind w:left="5730" w:hanging="269"/>
      </w:pPr>
      <w:rPr>
        <w:rFonts w:hint="default"/>
        <w:lang w:val="es-ES" w:eastAsia="en-US" w:bidi="ar-SA"/>
      </w:rPr>
    </w:lvl>
    <w:lvl w:ilvl="7">
      <w:start w:val="0"/>
      <w:numFmt w:val="bullet"/>
      <w:lvlText w:val="•"/>
      <w:lvlJc w:val="left"/>
      <w:pPr>
        <w:ind w:left="6685" w:hanging="269"/>
      </w:pPr>
      <w:rPr>
        <w:rFonts w:hint="default"/>
        <w:lang w:val="es-ES" w:eastAsia="en-US" w:bidi="ar-SA"/>
      </w:rPr>
    </w:lvl>
    <w:lvl w:ilvl="8">
      <w:start w:val="0"/>
      <w:numFmt w:val="bullet"/>
      <w:lvlText w:val="•"/>
      <w:lvlJc w:val="left"/>
      <w:pPr>
        <w:ind w:left="7640" w:hanging="269"/>
      </w:pPr>
      <w:rPr>
        <w:rFonts w:hint="default"/>
        <w:lang w:val="es-ES" w:eastAsia="en-US" w:bidi="ar-SA"/>
      </w:rPr>
    </w:lvl>
  </w:abstractNum>
  <w:abstractNum w:abstractNumId="14">
    <w:multiLevelType w:val="hybridMultilevel"/>
    <w:lvl w:ilvl="0">
      <w:start w:val="3"/>
      <w:numFmt w:val="upperRoman"/>
      <w:lvlText w:val="%1."/>
      <w:lvlJc w:val="left"/>
      <w:pPr>
        <w:ind w:left="1173" w:hanging="8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17" w:hanging="812"/>
      </w:pPr>
      <w:rPr>
        <w:rFonts w:hint="default"/>
        <w:lang w:val="es-ES" w:eastAsia="en-US" w:bidi="ar-SA"/>
      </w:rPr>
    </w:lvl>
    <w:lvl w:ilvl="2">
      <w:start w:val="0"/>
      <w:numFmt w:val="bullet"/>
      <w:lvlText w:val="•"/>
      <w:lvlJc w:val="left"/>
      <w:pPr>
        <w:ind w:left="2854" w:hanging="812"/>
      </w:pPr>
      <w:rPr>
        <w:rFonts w:hint="default"/>
        <w:lang w:val="es-ES" w:eastAsia="en-US" w:bidi="ar-SA"/>
      </w:rPr>
    </w:lvl>
    <w:lvl w:ilvl="3">
      <w:start w:val="0"/>
      <w:numFmt w:val="bullet"/>
      <w:lvlText w:val="•"/>
      <w:lvlJc w:val="left"/>
      <w:pPr>
        <w:ind w:left="3691" w:hanging="812"/>
      </w:pPr>
      <w:rPr>
        <w:rFonts w:hint="default"/>
        <w:lang w:val="es-ES" w:eastAsia="en-US" w:bidi="ar-SA"/>
      </w:rPr>
    </w:lvl>
    <w:lvl w:ilvl="4">
      <w:start w:val="0"/>
      <w:numFmt w:val="bullet"/>
      <w:lvlText w:val="•"/>
      <w:lvlJc w:val="left"/>
      <w:pPr>
        <w:ind w:left="4528" w:hanging="812"/>
      </w:pPr>
      <w:rPr>
        <w:rFonts w:hint="default"/>
        <w:lang w:val="es-ES" w:eastAsia="en-US" w:bidi="ar-SA"/>
      </w:rPr>
    </w:lvl>
    <w:lvl w:ilvl="5">
      <w:start w:val="0"/>
      <w:numFmt w:val="bullet"/>
      <w:lvlText w:val="•"/>
      <w:lvlJc w:val="left"/>
      <w:pPr>
        <w:ind w:left="5365" w:hanging="812"/>
      </w:pPr>
      <w:rPr>
        <w:rFonts w:hint="default"/>
        <w:lang w:val="es-ES" w:eastAsia="en-US" w:bidi="ar-SA"/>
      </w:rPr>
    </w:lvl>
    <w:lvl w:ilvl="6">
      <w:start w:val="0"/>
      <w:numFmt w:val="bullet"/>
      <w:lvlText w:val="•"/>
      <w:lvlJc w:val="left"/>
      <w:pPr>
        <w:ind w:left="6202" w:hanging="812"/>
      </w:pPr>
      <w:rPr>
        <w:rFonts w:hint="default"/>
        <w:lang w:val="es-ES" w:eastAsia="en-US" w:bidi="ar-SA"/>
      </w:rPr>
    </w:lvl>
    <w:lvl w:ilvl="7">
      <w:start w:val="0"/>
      <w:numFmt w:val="bullet"/>
      <w:lvlText w:val="•"/>
      <w:lvlJc w:val="left"/>
      <w:pPr>
        <w:ind w:left="7039" w:hanging="812"/>
      </w:pPr>
      <w:rPr>
        <w:rFonts w:hint="default"/>
        <w:lang w:val="es-ES" w:eastAsia="en-US" w:bidi="ar-SA"/>
      </w:rPr>
    </w:lvl>
    <w:lvl w:ilvl="8">
      <w:start w:val="0"/>
      <w:numFmt w:val="bullet"/>
      <w:lvlText w:val="•"/>
      <w:lvlJc w:val="left"/>
      <w:pPr>
        <w:ind w:left="7876" w:hanging="812"/>
      </w:pPr>
      <w:rPr>
        <w:rFonts w:hint="default"/>
        <w:lang w:val="es-ES" w:eastAsia="en-US" w:bidi="ar-SA"/>
      </w:rPr>
    </w:lvl>
  </w:abstractNum>
  <w:abstractNum w:abstractNumId="13">
    <w:multiLevelType w:val="hybridMultilevel"/>
    <w:lvl w:ilvl="0">
      <w:start w:val="1"/>
      <w:numFmt w:val="upperRoman"/>
      <w:lvlText w:val="%1."/>
      <w:lvlJc w:val="left"/>
      <w:pPr>
        <w:ind w:left="1173" w:hanging="8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17" w:hanging="812"/>
      </w:pPr>
      <w:rPr>
        <w:rFonts w:hint="default"/>
        <w:lang w:val="es-ES" w:eastAsia="en-US" w:bidi="ar-SA"/>
      </w:rPr>
    </w:lvl>
    <w:lvl w:ilvl="2">
      <w:start w:val="0"/>
      <w:numFmt w:val="bullet"/>
      <w:lvlText w:val="•"/>
      <w:lvlJc w:val="left"/>
      <w:pPr>
        <w:ind w:left="2854" w:hanging="812"/>
      </w:pPr>
      <w:rPr>
        <w:rFonts w:hint="default"/>
        <w:lang w:val="es-ES" w:eastAsia="en-US" w:bidi="ar-SA"/>
      </w:rPr>
    </w:lvl>
    <w:lvl w:ilvl="3">
      <w:start w:val="0"/>
      <w:numFmt w:val="bullet"/>
      <w:lvlText w:val="•"/>
      <w:lvlJc w:val="left"/>
      <w:pPr>
        <w:ind w:left="3691" w:hanging="812"/>
      </w:pPr>
      <w:rPr>
        <w:rFonts w:hint="default"/>
        <w:lang w:val="es-ES" w:eastAsia="en-US" w:bidi="ar-SA"/>
      </w:rPr>
    </w:lvl>
    <w:lvl w:ilvl="4">
      <w:start w:val="0"/>
      <w:numFmt w:val="bullet"/>
      <w:lvlText w:val="•"/>
      <w:lvlJc w:val="left"/>
      <w:pPr>
        <w:ind w:left="4528" w:hanging="812"/>
      </w:pPr>
      <w:rPr>
        <w:rFonts w:hint="default"/>
        <w:lang w:val="es-ES" w:eastAsia="en-US" w:bidi="ar-SA"/>
      </w:rPr>
    </w:lvl>
    <w:lvl w:ilvl="5">
      <w:start w:val="0"/>
      <w:numFmt w:val="bullet"/>
      <w:lvlText w:val="•"/>
      <w:lvlJc w:val="left"/>
      <w:pPr>
        <w:ind w:left="5365" w:hanging="812"/>
      </w:pPr>
      <w:rPr>
        <w:rFonts w:hint="default"/>
        <w:lang w:val="es-ES" w:eastAsia="en-US" w:bidi="ar-SA"/>
      </w:rPr>
    </w:lvl>
    <w:lvl w:ilvl="6">
      <w:start w:val="0"/>
      <w:numFmt w:val="bullet"/>
      <w:lvlText w:val="•"/>
      <w:lvlJc w:val="left"/>
      <w:pPr>
        <w:ind w:left="6202" w:hanging="812"/>
      </w:pPr>
      <w:rPr>
        <w:rFonts w:hint="default"/>
        <w:lang w:val="es-ES" w:eastAsia="en-US" w:bidi="ar-SA"/>
      </w:rPr>
    </w:lvl>
    <w:lvl w:ilvl="7">
      <w:start w:val="0"/>
      <w:numFmt w:val="bullet"/>
      <w:lvlText w:val="•"/>
      <w:lvlJc w:val="left"/>
      <w:pPr>
        <w:ind w:left="7039" w:hanging="812"/>
      </w:pPr>
      <w:rPr>
        <w:rFonts w:hint="default"/>
        <w:lang w:val="es-ES" w:eastAsia="en-US" w:bidi="ar-SA"/>
      </w:rPr>
    </w:lvl>
    <w:lvl w:ilvl="8">
      <w:start w:val="0"/>
      <w:numFmt w:val="bullet"/>
      <w:lvlText w:val="•"/>
      <w:lvlJc w:val="left"/>
      <w:pPr>
        <w:ind w:left="7876" w:hanging="812"/>
      </w:pPr>
      <w:rPr>
        <w:rFonts w:hint="default"/>
        <w:lang w:val="es-ES" w:eastAsia="en-US" w:bidi="ar-SA"/>
      </w:rPr>
    </w:lvl>
  </w:abstractNum>
  <w:abstractNum w:abstractNumId="12">
    <w:multiLevelType w:val="hybridMultilevel"/>
    <w:lvl w:ilvl="0">
      <w:start w:val="1"/>
      <w:numFmt w:val="lowerLetter"/>
      <w:lvlText w:val="%1)"/>
      <w:lvlJc w:val="left"/>
      <w:pPr>
        <w:ind w:left="1379" w:hanging="54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2197" w:hanging="545"/>
      </w:pPr>
      <w:rPr>
        <w:rFonts w:hint="default"/>
        <w:lang w:val="es-ES" w:eastAsia="en-US" w:bidi="ar-SA"/>
      </w:rPr>
    </w:lvl>
    <w:lvl w:ilvl="2">
      <w:start w:val="0"/>
      <w:numFmt w:val="bullet"/>
      <w:lvlText w:val="•"/>
      <w:lvlJc w:val="left"/>
      <w:pPr>
        <w:ind w:left="3014" w:hanging="545"/>
      </w:pPr>
      <w:rPr>
        <w:rFonts w:hint="default"/>
        <w:lang w:val="es-ES" w:eastAsia="en-US" w:bidi="ar-SA"/>
      </w:rPr>
    </w:lvl>
    <w:lvl w:ilvl="3">
      <w:start w:val="0"/>
      <w:numFmt w:val="bullet"/>
      <w:lvlText w:val="•"/>
      <w:lvlJc w:val="left"/>
      <w:pPr>
        <w:ind w:left="3831" w:hanging="545"/>
      </w:pPr>
      <w:rPr>
        <w:rFonts w:hint="default"/>
        <w:lang w:val="es-ES" w:eastAsia="en-US" w:bidi="ar-SA"/>
      </w:rPr>
    </w:lvl>
    <w:lvl w:ilvl="4">
      <w:start w:val="0"/>
      <w:numFmt w:val="bullet"/>
      <w:lvlText w:val="•"/>
      <w:lvlJc w:val="left"/>
      <w:pPr>
        <w:ind w:left="4648" w:hanging="545"/>
      </w:pPr>
      <w:rPr>
        <w:rFonts w:hint="default"/>
        <w:lang w:val="es-ES" w:eastAsia="en-US" w:bidi="ar-SA"/>
      </w:rPr>
    </w:lvl>
    <w:lvl w:ilvl="5">
      <w:start w:val="0"/>
      <w:numFmt w:val="bullet"/>
      <w:lvlText w:val="•"/>
      <w:lvlJc w:val="left"/>
      <w:pPr>
        <w:ind w:left="5465" w:hanging="545"/>
      </w:pPr>
      <w:rPr>
        <w:rFonts w:hint="default"/>
        <w:lang w:val="es-ES" w:eastAsia="en-US" w:bidi="ar-SA"/>
      </w:rPr>
    </w:lvl>
    <w:lvl w:ilvl="6">
      <w:start w:val="0"/>
      <w:numFmt w:val="bullet"/>
      <w:lvlText w:val="•"/>
      <w:lvlJc w:val="left"/>
      <w:pPr>
        <w:ind w:left="6282" w:hanging="545"/>
      </w:pPr>
      <w:rPr>
        <w:rFonts w:hint="default"/>
        <w:lang w:val="es-ES" w:eastAsia="en-US" w:bidi="ar-SA"/>
      </w:rPr>
    </w:lvl>
    <w:lvl w:ilvl="7">
      <w:start w:val="0"/>
      <w:numFmt w:val="bullet"/>
      <w:lvlText w:val="•"/>
      <w:lvlJc w:val="left"/>
      <w:pPr>
        <w:ind w:left="7099" w:hanging="545"/>
      </w:pPr>
      <w:rPr>
        <w:rFonts w:hint="default"/>
        <w:lang w:val="es-ES" w:eastAsia="en-US" w:bidi="ar-SA"/>
      </w:rPr>
    </w:lvl>
    <w:lvl w:ilvl="8">
      <w:start w:val="0"/>
      <w:numFmt w:val="bullet"/>
      <w:lvlText w:val="•"/>
      <w:lvlJc w:val="left"/>
      <w:pPr>
        <w:ind w:left="7916" w:hanging="545"/>
      </w:pPr>
      <w:rPr>
        <w:rFonts w:hint="default"/>
        <w:lang w:val="es-ES" w:eastAsia="en-US" w:bidi="ar-SA"/>
      </w:rPr>
    </w:lvl>
  </w:abstractNum>
  <w:abstractNum w:abstractNumId="11">
    <w:multiLevelType w:val="hybridMultilevel"/>
    <w:lvl w:ilvl="0">
      <w:start w:val="1"/>
      <w:numFmt w:val="lowerLetter"/>
      <w:lvlText w:val="%1)"/>
      <w:lvlJc w:val="left"/>
      <w:pPr>
        <w:ind w:left="721" w:hanging="432"/>
        <w:jc w:val="left"/>
      </w:pPr>
      <w:rPr>
        <w:rFonts w:hint="default" w:ascii="Arial" w:hAnsi="Arial" w:eastAsia="Arial" w:cs="Arial"/>
        <w:b/>
        <w:bCs/>
        <w:i w:val="0"/>
        <w:iCs w:val="0"/>
        <w:spacing w:val="0"/>
        <w:w w:val="99"/>
        <w:sz w:val="20"/>
        <w:szCs w:val="20"/>
        <w:lang w:val="es-ES" w:eastAsia="en-US" w:bidi="ar-SA"/>
      </w:rPr>
    </w:lvl>
    <w:lvl w:ilvl="1">
      <w:start w:val="1"/>
      <w:numFmt w:val="upperRoman"/>
      <w:lvlText w:val="%2."/>
      <w:lvlJc w:val="left"/>
      <w:pPr>
        <w:ind w:left="1009" w:hanging="72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950" w:hanging="720"/>
      </w:pPr>
      <w:rPr>
        <w:rFonts w:hint="default"/>
        <w:lang w:val="es-ES" w:eastAsia="en-US" w:bidi="ar-SA"/>
      </w:rPr>
    </w:lvl>
    <w:lvl w:ilvl="3">
      <w:start w:val="0"/>
      <w:numFmt w:val="bullet"/>
      <w:lvlText w:val="•"/>
      <w:lvlJc w:val="left"/>
      <w:pPr>
        <w:ind w:left="2900" w:hanging="720"/>
      </w:pPr>
      <w:rPr>
        <w:rFonts w:hint="default"/>
        <w:lang w:val="es-ES" w:eastAsia="en-US" w:bidi="ar-SA"/>
      </w:rPr>
    </w:lvl>
    <w:lvl w:ilvl="4">
      <w:start w:val="0"/>
      <w:numFmt w:val="bullet"/>
      <w:lvlText w:val="•"/>
      <w:lvlJc w:val="left"/>
      <w:pPr>
        <w:ind w:left="3850" w:hanging="720"/>
      </w:pPr>
      <w:rPr>
        <w:rFonts w:hint="default"/>
        <w:lang w:val="es-ES" w:eastAsia="en-US" w:bidi="ar-SA"/>
      </w:rPr>
    </w:lvl>
    <w:lvl w:ilvl="5">
      <w:start w:val="0"/>
      <w:numFmt w:val="bullet"/>
      <w:lvlText w:val="•"/>
      <w:lvlJc w:val="left"/>
      <w:pPr>
        <w:ind w:left="4800" w:hanging="720"/>
      </w:pPr>
      <w:rPr>
        <w:rFonts w:hint="default"/>
        <w:lang w:val="es-ES" w:eastAsia="en-US" w:bidi="ar-SA"/>
      </w:rPr>
    </w:lvl>
    <w:lvl w:ilvl="6">
      <w:start w:val="0"/>
      <w:numFmt w:val="bullet"/>
      <w:lvlText w:val="•"/>
      <w:lvlJc w:val="left"/>
      <w:pPr>
        <w:ind w:left="5750" w:hanging="720"/>
      </w:pPr>
      <w:rPr>
        <w:rFonts w:hint="default"/>
        <w:lang w:val="es-ES" w:eastAsia="en-US" w:bidi="ar-SA"/>
      </w:rPr>
    </w:lvl>
    <w:lvl w:ilvl="7">
      <w:start w:val="0"/>
      <w:numFmt w:val="bullet"/>
      <w:lvlText w:val="•"/>
      <w:lvlJc w:val="left"/>
      <w:pPr>
        <w:ind w:left="6700" w:hanging="720"/>
      </w:pPr>
      <w:rPr>
        <w:rFonts w:hint="default"/>
        <w:lang w:val="es-ES" w:eastAsia="en-US" w:bidi="ar-SA"/>
      </w:rPr>
    </w:lvl>
    <w:lvl w:ilvl="8">
      <w:start w:val="0"/>
      <w:numFmt w:val="bullet"/>
      <w:lvlText w:val="•"/>
      <w:lvlJc w:val="left"/>
      <w:pPr>
        <w:ind w:left="7650" w:hanging="720"/>
      </w:pPr>
      <w:rPr>
        <w:rFonts w:hint="default"/>
        <w:lang w:val="es-ES" w:eastAsia="en-US" w:bidi="ar-SA"/>
      </w:rPr>
    </w:lvl>
  </w:abstractNum>
  <w:abstractNum w:abstractNumId="10">
    <w:multiLevelType w:val="hybridMultilevel"/>
    <w:lvl w:ilvl="0">
      <w:start w:val="1"/>
      <w:numFmt w:val="upperRoman"/>
      <w:lvlText w:val="%1."/>
      <w:lvlJc w:val="left"/>
      <w:pPr>
        <w:ind w:left="858" w:hanging="569"/>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721"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153" w:hanging="432"/>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583" w:hanging="430"/>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2718" w:hanging="430"/>
      </w:pPr>
      <w:rPr>
        <w:rFonts w:hint="default"/>
        <w:lang w:val="es-ES" w:eastAsia="en-US" w:bidi="ar-SA"/>
      </w:rPr>
    </w:lvl>
    <w:lvl w:ilvl="5">
      <w:start w:val="0"/>
      <w:numFmt w:val="bullet"/>
      <w:lvlText w:val="•"/>
      <w:lvlJc w:val="left"/>
      <w:pPr>
        <w:ind w:left="3857" w:hanging="430"/>
      </w:pPr>
      <w:rPr>
        <w:rFonts w:hint="default"/>
        <w:lang w:val="es-ES" w:eastAsia="en-US" w:bidi="ar-SA"/>
      </w:rPr>
    </w:lvl>
    <w:lvl w:ilvl="6">
      <w:start w:val="0"/>
      <w:numFmt w:val="bullet"/>
      <w:lvlText w:val="•"/>
      <w:lvlJc w:val="left"/>
      <w:pPr>
        <w:ind w:left="4995" w:hanging="430"/>
      </w:pPr>
      <w:rPr>
        <w:rFonts w:hint="default"/>
        <w:lang w:val="es-ES" w:eastAsia="en-US" w:bidi="ar-SA"/>
      </w:rPr>
    </w:lvl>
    <w:lvl w:ilvl="7">
      <w:start w:val="0"/>
      <w:numFmt w:val="bullet"/>
      <w:lvlText w:val="•"/>
      <w:lvlJc w:val="left"/>
      <w:pPr>
        <w:ind w:left="6134" w:hanging="430"/>
      </w:pPr>
      <w:rPr>
        <w:rFonts w:hint="default"/>
        <w:lang w:val="es-ES" w:eastAsia="en-US" w:bidi="ar-SA"/>
      </w:rPr>
    </w:lvl>
    <w:lvl w:ilvl="8">
      <w:start w:val="0"/>
      <w:numFmt w:val="bullet"/>
      <w:lvlText w:val="•"/>
      <w:lvlJc w:val="left"/>
      <w:pPr>
        <w:ind w:left="7273" w:hanging="430"/>
      </w:pPr>
      <w:rPr>
        <w:rFonts w:hint="default"/>
        <w:lang w:val="es-ES" w:eastAsia="en-US" w:bidi="ar-SA"/>
      </w:rPr>
    </w:lvl>
  </w:abstractNum>
  <w:abstractNum w:abstractNumId="9">
    <w:multiLevelType w:val="hybridMultilevel"/>
    <w:lvl w:ilvl="0">
      <w:start w:val="1"/>
      <w:numFmt w:val="upperRoman"/>
      <w:lvlText w:val="%1."/>
      <w:lvlJc w:val="left"/>
      <w:pPr>
        <w:ind w:left="1009"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41"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41" w:hanging="432"/>
      </w:pPr>
      <w:rPr>
        <w:rFonts w:hint="default"/>
        <w:lang w:val="es-ES" w:eastAsia="en-US" w:bidi="ar-SA"/>
      </w:rPr>
    </w:lvl>
    <w:lvl w:ilvl="3">
      <w:start w:val="0"/>
      <w:numFmt w:val="bullet"/>
      <w:lvlText w:val="•"/>
      <w:lvlJc w:val="left"/>
      <w:pPr>
        <w:ind w:left="3242" w:hanging="432"/>
      </w:pPr>
      <w:rPr>
        <w:rFonts w:hint="default"/>
        <w:lang w:val="es-ES" w:eastAsia="en-US" w:bidi="ar-SA"/>
      </w:rPr>
    </w:lvl>
    <w:lvl w:ilvl="4">
      <w:start w:val="0"/>
      <w:numFmt w:val="bullet"/>
      <w:lvlText w:val="•"/>
      <w:lvlJc w:val="left"/>
      <w:pPr>
        <w:ind w:left="4143" w:hanging="432"/>
      </w:pPr>
      <w:rPr>
        <w:rFonts w:hint="default"/>
        <w:lang w:val="es-ES" w:eastAsia="en-US" w:bidi="ar-SA"/>
      </w:rPr>
    </w:lvl>
    <w:lvl w:ilvl="5">
      <w:start w:val="0"/>
      <w:numFmt w:val="bullet"/>
      <w:lvlText w:val="•"/>
      <w:lvlJc w:val="left"/>
      <w:pPr>
        <w:ind w:left="5044" w:hanging="432"/>
      </w:pPr>
      <w:rPr>
        <w:rFonts w:hint="default"/>
        <w:lang w:val="es-ES" w:eastAsia="en-US" w:bidi="ar-SA"/>
      </w:rPr>
    </w:lvl>
    <w:lvl w:ilvl="6">
      <w:start w:val="0"/>
      <w:numFmt w:val="bullet"/>
      <w:lvlText w:val="•"/>
      <w:lvlJc w:val="left"/>
      <w:pPr>
        <w:ind w:left="5945" w:hanging="432"/>
      </w:pPr>
      <w:rPr>
        <w:rFonts w:hint="default"/>
        <w:lang w:val="es-ES" w:eastAsia="en-US" w:bidi="ar-SA"/>
      </w:rPr>
    </w:lvl>
    <w:lvl w:ilvl="7">
      <w:start w:val="0"/>
      <w:numFmt w:val="bullet"/>
      <w:lvlText w:val="•"/>
      <w:lvlJc w:val="left"/>
      <w:pPr>
        <w:ind w:left="6846" w:hanging="432"/>
      </w:pPr>
      <w:rPr>
        <w:rFonts w:hint="default"/>
        <w:lang w:val="es-ES" w:eastAsia="en-US" w:bidi="ar-SA"/>
      </w:rPr>
    </w:lvl>
    <w:lvl w:ilvl="8">
      <w:start w:val="0"/>
      <w:numFmt w:val="bullet"/>
      <w:lvlText w:val="•"/>
      <w:lvlJc w:val="left"/>
      <w:pPr>
        <w:ind w:left="7748" w:hanging="432"/>
      </w:pPr>
      <w:rPr>
        <w:rFonts w:hint="default"/>
        <w:lang w:val="es-ES" w:eastAsia="en-US" w:bidi="ar-SA"/>
      </w:rPr>
    </w:lvl>
  </w:abstractNum>
  <w:abstractNum w:abstractNumId="8">
    <w:multiLevelType w:val="hybridMultilevel"/>
    <w:lvl w:ilvl="0">
      <w:start w:val="1"/>
      <w:numFmt w:val="upperRoman"/>
      <w:lvlText w:val="%1."/>
      <w:lvlJc w:val="left"/>
      <w:pPr>
        <w:ind w:left="1009"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5" w:hanging="720"/>
      </w:pPr>
      <w:rPr>
        <w:rFonts w:hint="default"/>
        <w:lang w:val="es-ES" w:eastAsia="en-US" w:bidi="ar-SA"/>
      </w:rPr>
    </w:lvl>
    <w:lvl w:ilvl="2">
      <w:start w:val="0"/>
      <w:numFmt w:val="bullet"/>
      <w:lvlText w:val="•"/>
      <w:lvlJc w:val="left"/>
      <w:pPr>
        <w:ind w:left="2710" w:hanging="720"/>
      </w:pPr>
      <w:rPr>
        <w:rFonts w:hint="default"/>
        <w:lang w:val="es-ES" w:eastAsia="en-US" w:bidi="ar-SA"/>
      </w:rPr>
    </w:lvl>
    <w:lvl w:ilvl="3">
      <w:start w:val="0"/>
      <w:numFmt w:val="bullet"/>
      <w:lvlText w:val="•"/>
      <w:lvlJc w:val="left"/>
      <w:pPr>
        <w:ind w:left="3565" w:hanging="720"/>
      </w:pPr>
      <w:rPr>
        <w:rFonts w:hint="default"/>
        <w:lang w:val="es-ES" w:eastAsia="en-US" w:bidi="ar-SA"/>
      </w:rPr>
    </w:lvl>
    <w:lvl w:ilvl="4">
      <w:start w:val="0"/>
      <w:numFmt w:val="bullet"/>
      <w:lvlText w:val="•"/>
      <w:lvlJc w:val="left"/>
      <w:pPr>
        <w:ind w:left="4420" w:hanging="720"/>
      </w:pPr>
      <w:rPr>
        <w:rFonts w:hint="default"/>
        <w:lang w:val="es-ES" w:eastAsia="en-US" w:bidi="ar-SA"/>
      </w:rPr>
    </w:lvl>
    <w:lvl w:ilvl="5">
      <w:start w:val="0"/>
      <w:numFmt w:val="bullet"/>
      <w:lvlText w:val="•"/>
      <w:lvlJc w:val="left"/>
      <w:pPr>
        <w:ind w:left="5275" w:hanging="720"/>
      </w:pPr>
      <w:rPr>
        <w:rFonts w:hint="default"/>
        <w:lang w:val="es-ES" w:eastAsia="en-US" w:bidi="ar-SA"/>
      </w:rPr>
    </w:lvl>
    <w:lvl w:ilvl="6">
      <w:start w:val="0"/>
      <w:numFmt w:val="bullet"/>
      <w:lvlText w:val="•"/>
      <w:lvlJc w:val="left"/>
      <w:pPr>
        <w:ind w:left="6130" w:hanging="720"/>
      </w:pPr>
      <w:rPr>
        <w:rFonts w:hint="default"/>
        <w:lang w:val="es-ES" w:eastAsia="en-US" w:bidi="ar-SA"/>
      </w:rPr>
    </w:lvl>
    <w:lvl w:ilvl="7">
      <w:start w:val="0"/>
      <w:numFmt w:val="bullet"/>
      <w:lvlText w:val="•"/>
      <w:lvlJc w:val="left"/>
      <w:pPr>
        <w:ind w:left="6985" w:hanging="720"/>
      </w:pPr>
      <w:rPr>
        <w:rFonts w:hint="default"/>
        <w:lang w:val="es-ES" w:eastAsia="en-US" w:bidi="ar-SA"/>
      </w:rPr>
    </w:lvl>
    <w:lvl w:ilvl="8">
      <w:start w:val="0"/>
      <w:numFmt w:val="bullet"/>
      <w:lvlText w:val="•"/>
      <w:lvlJc w:val="left"/>
      <w:pPr>
        <w:ind w:left="7840" w:hanging="720"/>
      </w:pPr>
      <w:rPr>
        <w:rFonts w:hint="default"/>
        <w:lang w:val="es-ES" w:eastAsia="en-US" w:bidi="ar-SA"/>
      </w:rPr>
    </w:lvl>
  </w:abstractNum>
  <w:abstractNum w:abstractNumId="7">
    <w:multiLevelType w:val="hybridMultilevel"/>
    <w:lvl w:ilvl="0">
      <w:start w:val="1"/>
      <w:numFmt w:val="upperRoman"/>
      <w:lvlText w:val="%1."/>
      <w:lvlJc w:val="left"/>
      <w:pPr>
        <w:ind w:left="1009"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5" w:hanging="720"/>
      </w:pPr>
      <w:rPr>
        <w:rFonts w:hint="default"/>
        <w:lang w:val="es-ES" w:eastAsia="en-US" w:bidi="ar-SA"/>
      </w:rPr>
    </w:lvl>
    <w:lvl w:ilvl="2">
      <w:start w:val="0"/>
      <w:numFmt w:val="bullet"/>
      <w:lvlText w:val="•"/>
      <w:lvlJc w:val="left"/>
      <w:pPr>
        <w:ind w:left="2710" w:hanging="720"/>
      </w:pPr>
      <w:rPr>
        <w:rFonts w:hint="default"/>
        <w:lang w:val="es-ES" w:eastAsia="en-US" w:bidi="ar-SA"/>
      </w:rPr>
    </w:lvl>
    <w:lvl w:ilvl="3">
      <w:start w:val="0"/>
      <w:numFmt w:val="bullet"/>
      <w:lvlText w:val="•"/>
      <w:lvlJc w:val="left"/>
      <w:pPr>
        <w:ind w:left="3565" w:hanging="720"/>
      </w:pPr>
      <w:rPr>
        <w:rFonts w:hint="default"/>
        <w:lang w:val="es-ES" w:eastAsia="en-US" w:bidi="ar-SA"/>
      </w:rPr>
    </w:lvl>
    <w:lvl w:ilvl="4">
      <w:start w:val="0"/>
      <w:numFmt w:val="bullet"/>
      <w:lvlText w:val="•"/>
      <w:lvlJc w:val="left"/>
      <w:pPr>
        <w:ind w:left="4420" w:hanging="720"/>
      </w:pPr>
      <w:rPr>
        <w:rFonts w:hint="default"/>
        <w:lang w:val="es-ES" w:eastAsia="en-US" w:bidi="ar-SA"/>
      </w:rPr>
    </w:lvl>
    <w:lvl w:ilvl="5">
      <w:start w:val="0"/>
      <w:numFmt w:val="bullet"/>
      <w:lvlText w:val="•"/>
      <w:lvlJc w:val="left"/>
      <w:pPr>
        <w:ind w:left="5275" w:hanging="720"/>
      </w:pPr>
      <w:rPr>
        <w:rFonts w:hint="default"/>
        <w:lang w:val="es-ES" w:eastAsia="en-US" w:bidi="ar-SA"/>
      </w:rPr>
    </w:lvl>
    <w:lvl w:ilvl="6">
      <w:start w:val="0"/>
      <w:numFmt w:val="bullet"/>
      <w:lvlText w:val="•"/>
      <w:lvlJc w:val="left"/>
      <w:pPr>
        <w:ind w:left="6130" w:hanging="720"/>
      </w:pPr>
      <w:rPr>
        <w:rFonts w:hint="default"/>
        <w:lang w:val="es-ES" w:eastAsia="en-US" w:bidi="ar-SA"/>
      </w:rPr>
    </w:lvl>
    <w:lvl w:ilvl="7">
      <w:start w:val="0"/>
      <w:numFmt w:val="bullet"/>
      <w:lvlText w:val="•"/>
      <w:lvlJc w:val="left"/>
      <w:pPr>
        <w:ind w:left="6985" w:hanging="720"/>
      </w:pPr>
      <w:rPr>
        <w:rFonts w:hint="default"/>
        <w:lang w:val="es-ES" w:eastAsia="en-US" w:bidi="ar-SA"/>
      </w:rPr>
    </w:lvl>
    <w:lvl w:ilvl="8">
      <w:start w:val="0"/>
      <w:numFmt w:val="bullet"/>
      <w:lvlText w:val="•"/>
      <w:lvlJc w:val="left"/>
      <w:pPr>
        <w:ind w:left="7840" w:hanging="720"/>
      </w:pPr>
      <w:rPr>
        <w:rFonts w:hint="default"/>
        <w:lang w:val="es-ES" w:eastAsia="en-US" w:bidi="ar-SA"/>
      </w:rPr>
    </w:lvl>
  </w:abstractNum>
  <w:abstractNum w:abstractNumId="6">
    <w:multiLevelType w:val="hybridMultilevel"/>
    <w:lvl w:ilvl="0">
      <w:start w:val="1"/>
      <w:numFmt w:val="upperRoman"/>
      <w:lvlText w:val="%1."/>
      <w:lvlJc w:val="left"/>
      <w:pPr>
        <w:ind w:left="834"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11" w:hanging="545"/>
      </w:pPr>
      <w:rPr>
        <w:rFonts w:hint="default"/>
        <w:lang w:val="es-ES" w:eastAsia="en-US" w:bidi="ar-SA"/>
      </w:rPr>
    </w:lvl>
    <w:lvl w:ilvl="2">
      <w:start w:val="0"/>
      <w:numFmt w:val="bullet"/>
      <w:lvlText w:val="•"/>
      <w:lvlJc w:val="left"/>
      <w:pPr>
        <w:ind w:left="2582" w:hanging="545"/>
      </w:pPr>
      <w:rPr>
        <w:rFonts w:hint="default"/>
        <w:lang w:val="es-ES" w:eastAsia="en-US" w:bidi="ar-SA"/>
      </w:rPr>
    </w:lvl>
    <w:lvl w:ilvl="3">
      <w:start w:val="0"/>
      <w:numFmt w:val="bullet"/>
      <w:lvlText w:val="•"/>
      <w:lvlJc w:val="left"/>
      <w:pPr>
        <w:ind w:left="3453" w:hanging="545"/>
      </w:pPr>
      <w:rPr>
        <w:rFonts w:hint="default"/>
        <w:lang w:val="es-ES" w:eastAsia="en-US" w:bidi="ar-SA"/>
      </w:rPr>
    </w:lvl>
    <w:lvl w:ilvl="4">
      <w:start w:val="0"/>
      <w:numFmt w:val="bullet"/>
      <w:lvlText w:val="•"/>
      <w:lvlJc w:val="left"/>
      <w:pPr>
        <w:ind w:left="4324" w:hanging="545"/>
      </w:pPr>
      <w:rPr>
        <w:rFonts w:hint="default"/>
        <w:lang w:val="es-ES" w:eastAsia="en-US" w:bidi="ar-SA"/>
      </w:rPr>
    </w:lvl>
    <w:lvl w:ilvl="5">
      <w:start w:val="0"/>
      <w:numFmt w:val="bullet"/>
      <w:lvlText w:val="•"/>
      <w:lvlJc w:val="left"/>
      <w:pPr>
        <w:ind w:left="5195" w:hanging="545"/>
      </w:pPr>
      <w:rPr>
        <w:rFonts w:hint="default"/>
        <w:lang w:val="es-ES" w:eastAsia="en-US" w:bidi="ar-SA"/>
      </w:rPr>
    </w:lvl>
    <w:lvl w:ilvl="6">
      <w:start w:val="0"/>
      <w:numFmt w:val="bullet"/>
      <w:lvlText w:val="•"/>
      <w:lvlJc w:val="left"/>
      <w:pPr>
        <w:ind w:left="6066" w:hanging="545"/>
      </w:pPr>
      <w:rPr>
        <w:rFonts w:hint="default"/>
        <w:lang w:val="es-ES" w:eastAsia="en-US" w:bidi="ar-SA"/>
      </w:rPr>
    </w:lvl>
    <w:lvl w:ilvl="7">
      <w:start w:val="0"/>
      <w:numFmt w:val="bullet"/>
      <w:lvlText w:val="•"/>
      <w:lvlJc w:val="left"/>
      <w:pPr>
        <w:ind w:left="6937" w:hanging="545"/>
      </w:pPr>
      <w:rPr>
        <w:rFonts w:hint="default"/>
        <w:lang w:val="es-ES" w:eastAsia="en-US" w:bidi="ar-SA"/>
      </w:rPr>
    </w:lvl>
    <w:lvl w:ilvl="8">
      <w:start w:val="0"/>
      <w:numFmt w:val="bullet"/>
      <w:lvlText w:val="•"/>
      <w:lvlJc w:val="left"/>
      <w:pPr>
        <w:ind w:left="7808" w:hanging="545"/>
      </w:pPr>
      <w:rPr>
        <w:rFonts w:hint="default"/>
        <w:lang w:val="es-ES" w:eastAsia="en-US" w:bidi="ar-SA"/>
      </w:rPr>
    </w:lvl>
  </w:abstractNum>
  <w:abstractNum w:abstractNumId="5">
    <w:multiLevelType w:val="hybridMultilevel"/>
    <w:lvl w:ilvl="0">
      <w:start w:val="1"/>
      <w:numFmt w:val="upperRoman"/>
      <w:lvlText w:val="%1."/>
      <w:lvlJc w:val="left"/>
      <w:pPr>
        <w:ind w:left="1173" w:hanging="8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17" w:hanging="812"/>
      </w:pPr>
      <w:rPr>
        <w:rFonts w:hint="default"/>
        <w:lang w:val="es-ES" w:eastAsia="en-US" w:bidi="ar-SA"/>
      </w:rPr>
    </w:lvl>
    <w:lvl w:ilvl="2">
      <w:start w:val="0"/>
      <w:numFmt w:val="bullet"/>
      <w:lvlText w:val="•"/>
      <w:lvlJc w:val="left"/>
      <w:pPr>
        <w:ind w:left="2854" w:hanging="812"/>
      </w:pPr>
      <w:rPr>
        <w:rFonts w:hint="default"/>
        <w:lang w:val="es-ES" w:eastAsia="en-US" w:bidi="ar-SA"/>
      </w:rPr>
    </w:lvl>
    <w:lvl w:ilvl="3">
      <w:start w:val="0"/>
      <w:numFmt w:val="bullet"/>
      <w:lvlText w:val="•"/>
      <w:lvlJc w:val="left"/>
      <w:pPr>
        <w:ind w:left="3691" w:hanging="812"/>
      </w:pPr>
      <w:rPr>
        <w:rFonts w:hint="default"/>
        <w:lang w:val="es-ES" w:eastAsia="en-US" w:bidi="ar-SA"/>
      </w:rPr>
    </w:lvl>
    <w:lvl w:ilvl="4">
      <w:start w:val="0"/>
      <w:numFmt w:val="bullet"/>
      <w:lvlText w:val="•"/>
      <w:lvlJc w:val="left"/>
      <w:pPr>
        <w:ind w:left="4528" w:hanging="812"/>
      </w:pPr>
      <w:rPr>
        <w:rFonts w:hint="default"/>
        <w:lang w:val="es-ES" w:eastAsia="en-US" w:bidi="ar-SA"/>
      </w:rPr>
    </w:lvl>
    <w:lvl w:ilvl="5">
      <w:start w:val="0"/>
      <w:numFmt w:val="bullet"/>
      <w:lvlText w:val="•"/>
      <w:lvlJc w:val="left"/>
      <w:pPr>
        <w:ind w:left="5365" w:hanging="812"/>
      </w:pPr>
      <w:rPr>
        <w:rFonts w:hint="default"/>
        <w:lang w:val="es-ES" w:eastAsia="en-US" w:bidi="ar-SA"/>
      </w:rPr>
    </w:lvl>
    <w:lvl w:ilvl="6">
      <w:start w:val="0"/>
      <w:numFmt w:val="bullet"/>
      <w:lvlText w:val="•"/>
      <w:lvlJc w:val="left"/>
      <w:pPr>
        <w:ind w:left="6202" w:hanging="812"/>
      </w:pPr>
      <w:rPr>
        <w:rFonts w:hint="default"/>
        <w:lang w:val="es-ES" w:eastAsia="en-US" w:bidi="ar-SA"/>
      </w:rPr>
    </w:lvl>
    <w:lvl w:ilvl="7">
      <w:start w:val="0"/>
      <w:numFmt w:val="bullet"/>
      <w:lvlText w:val="•"/>
      <w:lvlJc w:val="left"/>
      <w:pPr>
        <w:ind w:left="7039" w:hanging="812"/>
      </w:pPr>
      <w:rPr>
        <w:rFonts w:hint="default"/>
        <w:lang w:val="es-ES" w:eastAsia="en-US" w:bidi="ar-SA"/>
      </w:rPr>
    </w:lvl>
    <w:lvl w:ilvl="8">
      <w:start w:val="0"/>
      <w:numFmt w:val="bullet"/>
      <w:lvlText w:val="•"/>
      <w:lvlJc w:val="left"/>
      <w:pPr>
        <w:ind w:left="7876" w:hanging="812"/>
      </w:pPr>
      <w:rPr>
        <w:rFonts w:hint="default"/>
        <w:lang w:val="es-ES" w:eastAsia="en-US" w:bidi="ar-SA"/>
      </w:rPr>
    </w:lvl>
  </w:abstractNum>
  <w:abstractNum w:abstractNumId="4">
    <w:multiLevelType w:val="hybridMultilevel"/>
    <w:lvl w:ilvl="0">
      <w:start w:val="1"/>
      <w:numFmt w:val="upperRoman"/>
      <w:lvlText w:val="%1."/>
      <w:lvlJc w:val="left"/>
      <w:pPr>
        <w:ind w:left="1173" w:hanging="8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17" w:hanging="812"/>
      </w:pPr>
      <w:rPr>
        <w:rFonts w:hint="default"/>
        <w:lang w:val="es-ES" w:eastAsia="en-US" w:bidi="ar-SA"/>
      </w:rPr>
    </w:lvl>
    <w:lvl w:ilvl="2">
      <w:start w:val="0"/>
      <w:numFmt w:val="bullet"/>
      <w:lvlText w:val="•"/>
      <w:lvlJc w:val="left"/>
      <w:pPr>
        <w:ind w:left="2854" w:hanging="812"/>
      </w:pPr>
      <w:rPr>
        <w:rFonts w:hint="default"/>
        <w:lang w:val="es-ES" w:eastAsia="en-US" w:bidi="ar-SA"/>
      </w:rPr>
    </w:lvl>
    <w:lvl w:ilvl="3">
      <w:start w:val="0"/>
      <w:numFmt w:val="bullet"/>
      <w:lvlText w:val="•"/>
      <w:lvlJc w:val="left"/>
      <w:pPr>
        <w:ind w:left="3691" w:hanging="812"/>
      </w:pPr>
      <w:rPr>
        <w:rFonts w:hint="default"/>
        <w:lang w:val="es-ES" w:eastAsia="en-US" w:bidi="ar-SA"/>
      </w:rPr>
    </w:lvl>
    <w:lvl w:ilvl="4">
      <w:start w:val="0"/>
      <w:numFmt w:val="bullet"/>
      <w:lvlText w:val="•"/>
      <w:lvlJc w:val="left"/>
      <w:pPr>
        <w:ind w:left="4528" w:hanging="812"/>
      </w:pPr>
      <w:rPr>
        <w:rFonts w:hint="default"/>
        <w:lang w:val="es-ES" w:eastAsia="en-US" w:bidi="ar-SA"/>
      </w:rPr>
    </w:lvl>
    <w:lvl w:ilvl="5">
      <w:start w:val="0"/>
      <w:numFmt w:val="bullet"/>
      <w:lvlText w:val="•"/>
      <w:lvlJc w:val="left"/>
      <w:pPr>
        <w:ind w:left="5365" w:hanging="812"/>
      </w:pPr>
      <w:rPr>
        <w:rFonts w:hint="default"/>
        <w:lang w:val="es-ES" w:eastAsia="en-US" w:bidi="ar-SA"/>
      </w:rPr>
    </w:lvl>
    <w:lvl w:ilvl="6">
      <w:start w:val="0"/>
      <w:numFmt w:val="bullet"/>
      <w:lvlText w:val="•"/>
      <w:lvlJc w:val="left"/>
      <w:pPr>
        <w:ind w:left="6202" w:hanging="812"/>
      </w:pPr>
      <w:rPr>
        <w:rFonts w:hint="default"/>
        <w:lang w:val="es-ES" w:eastAsia="en-US" w:bidi="ar-SA"/>
      </w:rPr>
    </w:lvl>
    <w:lvl w:ilvl="7">
      <w:start w:val="0"/>
      <w:numFmt w:val="bullet"/>
      <w:lvlText w:val="•"/>
      <w:lvlJc w:val="left"/>
      <w:pPr>
        <w:ind w:left="7039" w:hanging="812"/>
      </w:pPr>
      <w:rPr>
        <w:rFonts w:hint="default"/>
        <w:lang w:val="es-ES" w:eastAsia="en-US" w:bidi="ar-SA"/>
      </w:rPr>
    </w:lvl>
    <w:lvl w:ilvl="8">
      <w:start w:val="0"/>
      <w:numFmt w:val="bullet"/>
      <w:lvlText w:val="•"/>
      <w:lvlJc w:val="left"/>
      <w:pPr>
        <w:ind w:left="7876" w:hanging="812"/>
      </w:pPr>
      <w:rPr>
        <w:rFonts w:hint="default"/>
        <w:lang w:val="es-ES" w:eastAsia="en-US" w:bidi="ar-SA"/>
      </w:rPr>
    </w:lvl>
  </w:abstractNum>
  <w:abstractNum w:abstractNumId="3">
    <w:multiLevelType w:val="hybridMultilevel"/>
    <w:lvl w:ilvl="0">
      <w:start w:val="1"/>
      <w:numFmt w:val="upperRoman"/>
      <w:lvlText w:val="%1."/>
      <w:lvlJc w:val="left"/>
      <w:pPr>
        <w:ind w:left="1173" w:hanging="8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17" w:hanging="812"/>
      </w:pPr>
      <w:rPr>
        <w:rFonts w:hint="default"/>
        <w:lang w:val="es-ES" w:eastAsia="en-US" w:bidi="ar-SA"/>
      </w:rPr>
    </w:lvl>
    <w:lvl w:ilvl="2">
      <w:start w:val="0"/>
      <w:numFmt w:val="bullet"/>
      <w:lvlText w:val="•"/>
      <w:lvlJc w:val="left"/>
      <w:pPr>
        <w:ind w:left="2854" w:hanging="812"/>
      </w:pPr>
      <w:rPr>
        <w:rFonts w:hint="default"/>
        <w:lang w:val="es-ES" w:eastAsia="en-US" w:bidi="ar-SA"/>
      </w:rPr>
    </w:lvl>
    <w:lvl w:ilvl="3">
      <w:start w:val="0"/>
      <w:numFmt w:val="bullet"/>
      <w:lvlText w:val="•"/>
      <w:lvlJc w:val="left"/>
      <w:pPr>
        <w:ind w:left="3691" w:hanging="812"/>
      </w:pPr>
      <w:rPr>
        <w:rFonts w:hint="default"/>
        <w:lang w:val="es-ES" w:eastAsia="en-US" w:bidi="ar-SA"/>
      </w:rPr>
    </w:lvl>
    <w:lvl w:ilvl="4">
      <w:start w:val="0"/>
      <w:numFmt w:val="bullet"/>
      <w:lvlText w:val="•"/>
      <w:lvlJc w:val="left"/>
      <w:pPr>
        <w:ind w:left="4528" w:hanging="812"/>
      </w:pPr>
      <w:rPr>
        <w:rFonts w:hint="default"/>
        <w:lang w:val="es-ES" w:eastAsia="en-US" w:bidi="ar-SA"/>
      </w:rPr>
    </w:lvl>
    <w:lvl w:ilvl="5">
      <w:start w:val="0"/>
      <w:numFmt w:val="bullet"/>
      <w:lvlText w:val="•"/>
      <w:lvlJc w:val="left"/>
      <w:pPr>
        <w:ind w:left="5365" w:hanging="812"/>
      </w:pPr>
      <w:rPr>
        <w:rFonts w:hint="default"/>
        <w:lang w:val="es-ES" w:eastAsia="en-US" w:bidi="ar-SA"/>
      </w:rPr>
    </w:lvl>
    <w:lvl w:ilvl="6">
      <w:start w:val="0"/>
      <w:numFmt w:val="bullet"/>
      <w:lvlText w:val="•"/>
      <w:lvlJc w:val="left"/>
      <w:pPr>
        <w:ind w:left="6202" w:hanging="812"/>
      </w:pPr>
      <w:rPr>
        <w:rFonts w:hint="default"/>
        <w:lang w:val="es-ES" w:eastAsia="en-US" w:bidi="ar-SA"/>
      </w:rPr>
    </w:lvl>
    <w:lvl w:ilvl="7">
      <w:start w:val="0"/>
      <w:numFmt w:val="bullet"/>
      <w:lvlText w:val="•"/>
      <w:lvlJc w:val="left"/>
      <w:pPr>
        <w:ind w:left="7039" w:hanging="812"/>
      </w:pPr>
      <w:rPr>
        <w:rFonts w:hint="default"/>
        <w:lang w:val="es-ES" w:eastAsia="en-US" w:bidi="ar-SA"/>
      </w:rPr>
    </w:lvl>
    <w:lvl w:ilvl="8">
      <w:start w:val="0"/>
      <w:numFmt w:val="bullet"/>
      <w:lvlText w:val="•"/>
      <w:lvlJc w:val="left"/>
      <w:pPr>
        <w:ind w:left="7876" w:hanging="812"/>
      </w:pPr>
      <w:rPr>
        <w:rFonts w:hint="default"/>
        <w:lang w:val="es-ES" w:eastAsia="en-US" w:bidi="ar-SA"/>
      </w:rPr>
    </w:lvl>
  </w:abstractNum>
  <w:abstractNum w:abstractNumId="2">
    <w:multiLevelType w:val="hybridMultilevel"/>
    <w:lvl w:ilvl="0">
      <w:start w:val="1"/>
      <w:numFmt w:val="upperRoman"/>
      <w:lvlText w:val="%1."/>
      <w:lvlJc w:val="left"/>
      <w:pPr>
        <w:ind w:left="721"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03" w:hanging="432"/>
      </w:pPr>
      <w:rPr>
        <w:rFonts w:hint="default"/>
        <w:lang w:val="es-ES" w:eastAsia="en-US" w:bidi="ar-SA"/>
      </w:rPr>
    </w:lvl>
    <w:lvl w:ilvl="2">
      <w:start w:val="0"/>
      <w:numFmt w:val="bullet"/>
      <w:lvlText w:val="•"/>
      <w:lvlJc w:val="left"/>
      <w:pPr>
        <w:ind w:left="2486" w:hanging="432"/>
      </w:pPr>
      <w:rPr>
        <w:rFonts w:hint="default"/>
        <w:lang w:val="es-ES" w:eastAsia="en-US" w:bidi="ar-SA"/>
      </w:rPr>
    </w:lvl>
    <w:lvl w:ilvl="3">
      <w:start w:val="0"/>
      <w:numFmt w:val="bullet"/>
      <w:lvlText w:val="•"/>
      <w:lvlJc w:val="left"/>
      <w:pPr>
        <w:ind w:left="3369" w:hanging="432"/>
      </w:pPr>
      <w:rPr>
        <w:rFonts w:hint="default"/>
        <w:lang w:val="es-ES" w:eastAsia="en-US" w:bidi="ar-SA"/>
      </w:rPr>
    </w:lvl>
    <w:lvl w:ilvl="4">
      <w:start w:val="0"/>
      <w:numFmt w:val="bullet"/>
      <w:lvlText w:val="•"/>
      <w:lvlJc w:val="left"/>
      <w:pPr>
        <w:ind w:left="4252" w:hanging="432"/>
      </w:pPr>
      <w:rPr>
        <w:rFonts w:hint="default"/>
        <w:lang w:val="es-ES" w:eastAsia="en-US" w:bidi="ar-SA"/>
      </w:rPr>
    </w:lvl>
    <w:lvl w:ilvl="5">
      <w:start w:val="0"/>
      <w:numFmt w:val="bullet"/>
      <w:lvlText w:val="•"/>
      <w:lvlJc w:val="left"/>
      <w:pPr>
        <w:ind w:left="5135" w:hanging="432"/>
      </w:pPr>
      <w:rPr>
        <w:rFonts w:hint="default"/>
        <w:lang w:val="es-ES" w:eastAsia="en-US" w:bidi="ar-SA"/>
      </w:rPr>
    </w:lvl>
    <w:lvl w:ilvl="6">
      <w:start w:val="0"/>
      <w:numFmt w:val="bullet"/>
      <w:lvlText w:val="•"/>
      <w:lvlJc w:val="left"/>
      <w:pPr>
        <w:ind w:left="6018" w:hanging="432"/>
      </w:pPr>
      <w:rPr>
        <w:rFonts w:hint="default"/>
        <w:lang w:val="es-ES" w:eastAsia="en-US" w:bidi="ar-SA"/>
      </w:rPr>
    </w:lvl>
    <w:lvl w:ilvl="7">
      <w:start w:val="0"/>
      <w:numFmt w:val="bullet"/>
      <w:lvlText w:val="•"/>
      <w:lvlJc w:val="left"/>
      <w:pPr>
        <w:ind w:left="6901" w:hanging="432"/>
      </w:pPr>
      <w:rPr>
        <w:rFonts w:hint="default"/>
        <w:lang w:val="es-ES" w:eastAsia="en-US" w:bidi="ar-SA"/>
      </w:rPr>
    </w:lvl>
    <w:lvl w:ilvl="8">
      <w:start w:val="0"/>
      <w:numFmt w:val="bullet"/>
      <w:lvlText w:val="•"/>
      <w:lvlJc w:val="left"/>
      <w:pPr>
        <w:ind w:left="7784" w:hanging="432"/>
      </w:pPr>
      <w:rPr>
        <w:rFonts w:hint="default"/>
        <w:lang w:val="es-ES" w:eastAsia="en-US" w:bidi="ar-SA"/>
      </w:rPr>
    </w:lvl>
  </w:abstractNum>
  <w:abstractNum w:abstractNumId="0">
    <w:multiLevelType w:val="hybridMultilevel"/>
    <w:lvl w:ilvl="0">
      <w:start w:val="1"/>
      <w:numFmt w:val="upperRoman"/>
      <w:lvlText w:val="%1."/>
      <w:lvlJc w:val="left"/>
      <w:pPr>
        <w:ind w:left="1009"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5" w:hanging="720"/>
      </w:pPr>
      <w:rPr>
        <w:rFonts w:hint="default"/>
        <w:lang w:val="es-ES" w:eastAsia="en-US" w:bidi="ar-SA"/>
      </w:rPr>
    </w:lvl>
    <w:lvl w:ilvl="2">
      <w:start w:val="0"/>
      <w:numFmt w:val="bullet"/>
      <w:lvlText w:val="•"/>
      <w:lvlJc w:val="left"/>
      <w:pPr>
        <w:ind w:left="2710" w:hanging="720"/>
      </w:pPr>
      <w:rPr>
        <w:rFonts w:hint="default"/>
        <w:lang w:val="es-ES" w:eastAsia="en-US" w:bidi="ar-SA"/>
      </w:rPr>
    </w:lvl>
    <w:lvl w:ilvl="3">
      <w:start w:val="0"/>
      <w:numFmt w:val="bullet"/>
      <w:lvlText w:val="•"/>
      <w:lvlJc w:val="left"/>
      <w:pPr>
        <w:ind w:left="3565" w:hanging="720"/>
      </w:pPr>
      <w:rPr>
        <w:rFonts w:hint="default"/>
        <w:lang w:val="es-ES" w:eastAsia="en-US" w:bidi="ar-SA"/>
      </w:rPr>
    </w:lvl>
    <w:lvl w:ilvl="4">
      <w:start w:val="0"/>
      <w:numFmt w:val="bullet"/>
      <w:lvlText w:val="•"/>
      <w:lvlJc w:val="left"/>
      <w:pPr>
        <w:ind w:left="4420" w:hanging="720"/>
      </w:pPr>
      <w:rPr>
        <w:rFonts w:hint="default"/>
        <w:lang w:val="es-ES" w:eastAsia="en-US" w:bidi="ar-SA"/>
      </w:rPr>
    </w:lvl>
    <w:lvl w:ilvl="5">
      <w:start w:val="0"/>
      <w:numFmt w:val="bullet"/>
      <w:lvlText w:val="•"/>
      <w:lvlJc w:val="left"/>
      <w:pPr>
        <w:ind w:left="5275" w:hanging="720"/>
      </w:pPr>
      <w:rPr>
        <w:rFonts w:hint="default"/>
        <w:lang w:val="es-ES" w:eastAsia="en-US" w:bidi="ar-SA"/>
      </w:rPr>
    </w:lvl>
    <w:lvl w:ilvl="6">
      <w:start w:val="0"/>
      <w:numFmt w:val="bullet"/>
      <w:lvlText w:val="•"/>
      <w:lvlJc w:val="left"/>
      <w:pPr>
        <w:ind w:left="6130" w:hanging="720"/>
      </w:pPr>
      <w:rPr>
        <w:rFonts w:hint="default"/>
        <w:lang w:val="es-ES" w:eastAsia="en-US" w:bidi="ar-SA"/>
      </w:rPr>
    </w:lvl>
    <w:lvl w:ilvl="7">
      <w:start w:val="0"/>
      <w:numFmt w:val="bullet"/>
      <w:lvlText w:val="•"/>
      <w:lvlJc w:val="left"/>
      <w:pPr>
        <w:ind w:left="6985" w:hanging="720"/>
      </w:pPr>
      <w:rPr>
        <w:rFonts w:hint="default"/>
        <w:lang w:val="es-ES" w:eastAsia="en-US" w:bidi="ar-SA"/>
      </w:rPr>
    </w:lvl>
    <w:lvl w:ilvl="8">
      <w:start w:val="0"/>
      <w:numFmt w:val="bullet"/>
      <w:lvlText w:val="•"/>
      <w:lvlJc w:val="left"/>
      <w:pPr>
        <w:ind w:left="7840" w:hanging="720"/>
      </w:pPr>
      <w:rPr>
        <w:rFonts w:hint="default"/>
        <w:lang w:val="es-ES" w:eastAsia="en-US" w:bidi="ar-SA"/>
      </w:rPr>
    </w:lvl>
  </w:abstractNum>
  <w:num w:numId="2">
    <w:abstractNumId w:val="1"/>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spacing w:before="226"/>
      <w:ind w:left="1156" w:right="1294"/>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009" w:hanging="720"/>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210" w:lineRule="exact"/>
      <w:ind w:left="13"/>
      <w:jc w:val="center"/>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jpeg"/><Relationship Id="rId25" Type="http://schemas.openxmlformats.org/officeDocument/2006/relationships/image" Target="media/image20.jpeg"/><Relationship Id="rId26" Type="http://schemas.openxmlformats.org/officeDocument/2006/relationships/image" Target="media/image21.jpe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de Coordinación Fiscal</dc:title>
  <dcterms:created xsi:type="dcterms:W3CDTF">2025-05-03T03:04:51Z</dcterms:created>
  <dcterms:modified xsi:type="dcterms:W3CDTF">2025-05-03T03:04:51Z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